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B573" w14:textId="77777777" w:rsidR="00044FFB" w:rsidRPr="00044FFB" w:rsidRDefault="00044FFB" w:rsidP="00044FFB">
      <w:pPr>
        <w:pStyle w:val="Navadensplet"/>
        <w:spacing w:before="120" w:beforeAutospacing="0" w:after="120" w:afterAutospacing="0"/>
        <w:jc w:val="both"/>
        <w:rPr>
          <w:rFonts w:ascii="UniverzaSans" w:hAnsi="UniverzaSans"/>
          <w:caps/>
          <w:sz w:val="26"/>
          <w:lang w:val="en-GB"/>
        </w:rPr>
      </w:pPr>
      <w:r w:rsidRPr="00044FFB">
        <w:rPr>
          <w:rStyle w:val="Krepko"/>
          <w:rFonts w:ascii="UniverzaSans" w:eastAsiaTheme="majorEastAsia" w:hAnsi="UniverzaSans"/>
          <w:caps/>
          <w:sz w:val="26"/>
          <w:lang w:val="en-GB"/>
        </w:rPr>
        <w:t>Ljubljana Law Review (</w:t>
      </w:r>
      <w:r w:rsidRPr="00044FFB">
        <w:rPr>
          <w:rStyle w:val="Krepko"/>
          <w:rFonts w:ascii="UniverzaSans" w:eastAsiaTheme="majorEastAsia" w:hAnsi="UniverzaSans"/>
          <w:caps/>
          <w:sz w:val="26"/>
          <w:lang w:val="sl-SI"/>
        </w:rPr>
        <w:t>Zbornik znanstvenih razprav</w:t>
      </w:r>
      <w:r w:rsidRPr="00044FFB">
        <w:rPr>
          <w:rStyle w:val="Krepko"/>
          <w:rFonts w:ascii="UniverzaSans" w:eastAsiaTheme="majorEastAsia" w:hAnsi="UniverzaSans"/>
          <w:caps/>
          <w:sz w:val="26"/>
          <w:lang w:val="en-GB"/>
        </w:rPr>
        <w:t>)</w:t>
      </w:r>
    </w:p>
    <w:p w14:paraId="79E1BA6D" w14:textId="1AD15DD0" w:rsidR="00044FFB" w:rsidRPr="00044FFB" w:rsidRDefault="00044FFB" w:rsidP="00044FFB">
      <w:pPr>
        <w:pStyle w:val="Navadensplet"/>
        <w:spacing w:before="120" w:beforeAutospacing="0" w:after="360" w:afterAutospacing="0"/>
        <w:jc w:val="both"/>
        <w:rPr>
          <w:rFonts w:ascii="UniverzaSans" w:hAnsi="UniverzaSans"/>
          <w:sz w:val="26"/>
          <w:lang w:val="en-GB"/>
        </w:rPr>
      </w:pPr>
      <w:r w:rsidRPr="00044FFB">
        <w:rPr>
          <w:rStyle w:val="Krepko"/>
          <w:rFonts w:ascii="UniverzaSans" w:eastAsiaTheme="majorEastAsia" w:hAnsi="UniverzaSans"/>
          <w:sz w:val="26"/>
          <w:lang w:val="en-GB"/>
        </w:rPr>
        <w:t>Statement on Publishing Ethics and Prevention of Misconduct</w:t>
      </w:r>
    </w:p>
    <w:p w14:paraId="013D47F8" w14:textId="77777777" w:rsidR="00044FFB" w:rsidRPr="00044FFB" w:rsidRDefault="00044FFB" w:rsidP="00044FFB">
      <w:pPr>
        <w:pStyle w:val="Navadensplet"/>
        <w:spacing w:before="120" w:beforeAutospacing="0" w:after="120" w:afterAutospacing="0"/>
        <w:jc w:val="both"/>
        <w:rPr>
          <w:rFonts w:ascii="UniverzaSans" w:hAnsi="UniverzaSans"/>
          <w:sz w:val="26"/>
          <w:lang w:val="en-GB"/>
        </w:rPr>
      </w:pPr>
      <w:r w:rsidRPr="00044FFB">
        <w:rPr>
          <w:rStyle w:val="Krepko"/>
          <w:rFonts w:ascii="UniverzaSans" w:eastAsiaTheme="majorEastAsia" w:hAnsi="UniverzaSans"/>
          <w:sz w:val="26"/>
          <w:lang w:val="en-GB"/>
        </w:rPr>
        <w:t>I. Applicability</w:t>
      </w:r>
    </w:p>
    <w:p w14:paraId="63B9D3CB" w14:textId="0EC63BDF" w:rsidR="00044FFB" w:rsidRPr="00044FFB" w:rsidRDefault="00044FFB" w:rsidP="00044FFB">
      <w:pPr>
        <w:pStyle w:val="Navadensplet"/>
        <w:spacing w:before="120" w:beforeAutospacing="0" w:after="240" w:afterAutospacing="0"/>
        <w:jc w:val="both"/>
        <w:rPr>
          <w:rFonts w:ascii="UniverzaSans" w:hAnsi="UniverzaSans"/>
          <w:lang w:val="en-GB"/>
        </w:rPr>
      </w:pPr>
      <w:r w:rsidRPr="00044FFB">
        <w:rPr>
          <w:rFonts w:ascii="UniverzaSans" w:hAnsi="UniverzaSans"/>
          <w:lang w:val="en-GB"/>
        </w:rPr>
        <w:t xml:space="preserve">These rules are binding for all participants in the publication process of the </w:t>
      </w:r>
      <w:r>
        <w:rPr>
          <w:rStyle w:val="Poudarek"/>
          <w:rFonts w:ascii="UniverzaSans" w:eastAsiaTheme="majorEastAsia" w:hAnsi="UniverzaSans"/>
          <w:lang w:val="en-GB"/>
        </w:rPr>
        <w:t>Ljubljana Law Review</w:t>
      </w:r>
      <w:r w:rsidRPr="00044FFB">
        <w:rPr>
          <w:rFonts w:ascii="UniverzaSans" w:hAnsi="UniverzaSans"/>
          <w:lang w:val="en-GB"/>
        </w:rPr>
        <w:t>, especially members of the editorial board, authors, and reviewers.</w:t>
      </w:r>
    </w:p>
    <w:p w14:paraId="6AFEF7AC" w14:textId="77777777" w:rsidR="00044FFB" w:rsidRPr="00044FFB" w:rsidRDefault="00044FFB" w:rsidP="00044FFB">
      <w:pPr>
        <w:pStyle w:val="Navadensplet"/>
        <w:spacing w:before="120" w:beforeAutospacing="0" w:after="120" w:afterAutospacing="0"/>
        <w:jc w:val="both"/>
        <w:rPr>
          <w:rFonts w:ascii="UniverzaSans" w:hAnsi="UniverzaSans"/>
          <w:sz w:val="26"/>
          <w:lang w:val="en-GB"/>
        </w:rPr>
      </w:pPr>
      <w:r w:rsidRPr="00044FFB">
        <w:rPr>
          <w:rStyle w:val="Krepko"/>
          <w:rFonts w:ascii="UniverzaSans" w:eastAsiaTheme="majorEastAsia" w:hAnsi="UniverzaSans"/>
          <w:sz w:val="26"/>
          <w:lang w:val="en-GB"/>
        </w:rPr>
        <w:t>II. Editorial Board</w:t>
      </w:r>
    </w:p>
    <w:p w14:paraId="6D15658F"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Autonomy and Editorial Independence</w:t>
      </w:r>
    </w:p>
    <w:p w14:paraId="52707506" w14:textId="10D24107"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The editorial board is autonomous in determining the content framework of the collection and in making decisions regarding published materials. Members of the editorial board ensure compliance with the guidelines outlined in this statement.</w:t>
      </w:r>
    </w:p>
    <w:p w14:paraId="075EABD1"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Responsibility</w:t>
      </w:r>
    </w:p>
    <w:p w14:paraId="4D53BF57"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The editorial board is responsible for decisions on the publication of submitted contributions.</w:t>
      </w:r>
    </w:p>
    <w:p w14:paraId="789FC650"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The editor-in-chief is committed to adhering to the guidelines set by the editorial board and applicable regulations.</w:t>
      </w:r>
    </w:p>
    <w:p w14:paraId="3F46449E" w14:textId="5A11D185"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The decision to publish a manuscript is made by the editor-in-chief, considering the opinions of selected reviewers.</w:t>
      </w:r>
    </w:p>
    <w:p w14:paraId="1A11A3B0"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Confidentiality</w:t>
      </w:r>
    </w:p>
    <w:p w14:paraId="05C32849" w14:textId="09CD0A52"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Members of the editorial board and others involved in decision-making or preparation processes for publication are committed to maintaining the confidentiality of information obtained during these processes.</w:t>
      </w:r>
    </w:p>
    <w:p w14:paraId="5494F3E4"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Conflict of Interest</w:t>
      </w:r>
    </w:p>
    <w:p w14:paraId="2AED258E" w14:textId="65F381F2"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Members of the editorial board must disclose any conflicts of interest, especially if they are financial, personal, political, scientific, or religious.</w:t>
      </w:r>
    </w:p>
    <w:p w14:paraId="550F1F13"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Integrity</w:t>
      </w:r>
    </w:p>
    <w:p w14:paraId="66C6726E" w14:textId="246BC271" w:rsidR="00044FFB" w:rsidRPr="00044FFB" w:rsidRDefault="00044FFB" w:rsidP="00044FFB">
      <w:pPr>
        <w:pStyle w:val="Navadensplet"/>
        <w:spacing w:before="120" w:beforeAutospacing="0" w:after="240" w:afterAutospacing="0"/>
        <w:jc w:val="both"/>
        <w:rPr>
          <w:rFonts w:ascii="UniverzaSans" w:hAnsi="UniverzaSans"/>
          <w:lang w:val="en-GB"/>
        </w:rPr>
      </w:pPr>
      <w:r w:rsidRPr="00044FFB">
        <w:rPr>
          <w:rFonts w:ascii="UniverzaSans" w:hAnsi="UniverzaSans"/>
          <w:lang w:val="en-GB"/>
        </w:rPr>
        <w:t>Members of the editorial board commit to evaluating manuscripts solely based on scientific criteria and author guidelines, without regard to race, gender, sexual orientation, religious beliefs, nationality, citizenship, or political affiliations of the authors.</w:t>
      </w:r>
    </w:p>
    <w:p w14:paraId="6620C87D" w14:textId="77777777" w:rsidR="00044FFB" w:rsidRPr="00044FFB" w:rsidRDefault="00044FFB" w:rsidP="00044FFB">
      <w:pPr>
        <w:pStyle w:val="Navadensplet"/>
        <w:spacing w:before="120" w:beforeAutospacing="0" w:after="120" w:afterAutospacing="0"/>
        <w:jc w:val="both"/>
        <w:rPr>
          <w:rFonts w:ascii="UniverzaSans" w:hAnsi="UniverzaSans"/>
          <w:sz w:val="26"/>
          <w:lang w:val="en-GB"/>
        </w:rPr>
      </w:pPr>
      <w:r w:rsidRPr="00044FFB">
        <w:rPr>
          <w:rStyle w:val="Krepko"/>
          <w:rFonts w:ascii="UniverzaSans" w:eastAsiaTheme="majorEastAsia" w:hAnsi="UniverzaSans"/>
          <w:sz w:val="26"/>
          <w:lang w:val="en-GB"/>
        </w:rPr>
        <w:t>III. Authors</w:t>
      </w:r>
    </w:p>
    <w:p w14:paraId="1529E922"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Originality</w:t>
      </w:r>
    </w:p>
    <w:p w14:paraId="12B85E25" w14:textId="57D4AE27"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Authors must ensure that the submitted manuscript is their original work.</w:t>
      </w:r>
    </w:p>
    <w:p w14:paraId="005F06AF"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First Publication</w:t>
      </w:r>
    </w:p>
    <w:p w14:paraId="46007926" w14:textId="7DA364CD"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Authors must confirm that the manuscript has not been published elsewhere and is not under consideration for publication elsewhere.</w:t>
      </w:r>
    </w:p>
    <w:p w14:paraId="0EF40B0A"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lastRenderedPageBreak/>
        <w:t>Conflict of Interest</w:t>
      </w:r>
    </w:p>
    <w:p w14:paraId="1B347A21" w14:textId="556C2CD9"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Authors must inform the editorial board of any conflicts of interest, particularly financial, personal, political, scientific, or religious.</w:t>
      </w:r>
    </w:p>
    <w:p w14:paraId="2C6F329F"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Transparency</w:t>
      </w:r>
    </w:p>
    <w:p w14:paraId="473DF6DD" w14:textId="28BB1707" w:rsidR="00044FFB" w:rsidRPr="00044FFB" w:rsidRDefault="00044FFB" w:rsidP="00044FFB">
      <w:pPr>
        <w:pStyle w:val="Navadensplet"/>
        <w:spacing w:before="120" w:beforeAutospacing="0" w:after="240" w:afterAutospacing="0"/>
        <w:jc w:val="both"/>
        <w:rPr>
          <w:rFonts w:ascii="UniverzaSans" w:hAnsi="UniverzaSans"/>
          <w:lang w:val="en-GB"/>
        </w:rPr>
      </w:pPr>
      <w:r w:rsidRPr="00044FFB">
        <w:rPr>
          <w:rFonts w:ascii="UniverzaSans" w:hAnsi="UniverzaSans"/>
          <w:lang w:val="en-GB"/>
        </w:rPr>
        <w:t>Authors must disclose all sources used in preparing their contribution.</w:t>
      </w:r>
    </w:p>
    <w:p w14:paraId="2F3462F0" w14:textId="77777777" w:rsidR="00044FFB" w:rsidRPr="00044FFB" w:rsidRDefault="00044FFB" w:rsidP="00044FFB">
      <w:pPr>
        <w:pStyle w:val="Navadensplet"/>
        <w:spacing w:before="120" w:beforeAutospacing="0" w:after="120" w:afterAutospacing="0"/>
        <w:jc w:val="both"/>
        <w:rPr>
          <w:rFonts w:ascii="UniverzaSans" w:hAnsi="UniverzaSans"/>
          <w:sz w:val="26"/>
          <w:lang w:val="en-GB"/>
        </w:rPr>
      </w:pPr>
      <w:r w:rsidRPr="00044FFB">
        <w:rPr>
          <w:rStyle w:val="Krepko"/>
          <w:rFonts w:ascii="UniverzaSans" w:eastAsiaTheme="majorEastAsia" w:hAnsi="UniverzaSans"/>
          <w:sz w:val="26"/>
          <w:lang w:val="en-GB"/>
        </w:rPr>
        <w:t>IV. Reviewers</w:t>
      </w:r>
    </w:p>
    <w:p w14:paraId="117A5A93"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Conflict of Interest</w:t>
      </w:r>
    </w:p>
    <w:p w14:paraId="07C46530" w14:textId="3262C05C"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Reviewers must notify the editorial board of any conflicts of interest, especially financial, personal, political, scientific, or religious in nature.</w:t>
      </w:r>
    </w:p>
    <w:p w14:paraId="40C22C63"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Confidentiality</w:t>
      </w:r>
    </w:p>
    <w:p w14:paraId="146A874E" w14:textId="5049F829"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Reviewers must treat all information related to received manuscripts as confidential.</w:t>
      </w:r>
    </w:p>
    <w:p w14:paraId="01D51807"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Disclosure</w:t>
      </w:r>
    </w:p>
    <w:p w14:paraId="55D57CE6" w14:textId="18C2BCE3"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Reviewers must promptly inform the editorial board of any circumstances that may warrant rejection of the manuscript.</w:t>
      </w:r>
    </w:p>
    <w:p w14:paraId="49F1A4A7"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Integrity</w:t>
      </w:r>
    </w:p>
    <w:p w14:paraId="7A255AEB" w14:textId="21836CCC" w:rsidR="00044FFB" w:rsidRPr="00044FFB" w:rsidRDefault="00044FFB" w:rsidP="00044FFB">
      <w:pPr>
        <w:pStyle w:val="Navadensplet"/>
        <w:spacing w:before="120" w:beforeAutospacing="0" w:after="240" w:afterAutospacing="0"/>
        <w:jc w:val="both"/>
        <w:rPr>
          <w:rFonts w:ascii="UniverzaSans" w:hAnsi="UniverzaSans"/>
          <w:lang w:val="en-GB"/>
        </w:rPr>
      </w:pPr>
      <w:r w:rsidRPr="00044FFB">
        <w:rPr>
          <w:rFonts w:ascii="UniverzaSans" w:hAnsi="UniverzaSans"/>
          <w:lang w:val="en-GB"/>
        </w:rPr>
        <w:t>Reviewers commit to evaluating manuscripts solely based on scientific criteria and author guidelines, without regard to race, gender, sexual orientation, religious beliefs, nationality, citizenship, or political affiliations of the authors.</w:t>
      </w:r>
    </w:p>
    <w:p w14:paraId="372DDB0B" w14:textId="77777777" w:rsidR="00044FFB" w:rsidRPr="00044FFB" w:rsidRDefault="00044FFB" w:rsidP="00044FFB">
      <w:pPr>
        <w:pStyle w:val="Navadensplet"/>
        <w:spacing w:before="120" w:beforeAutospacing="0" w:after="120" w:afterAutospacing="0"/>
        <w:jc w:val="both"/>
        <w:rPr>
          <w:rFonts w:ascii="UniverzaSans" w:hAnsi="UniverzaSans"/>
          <w:sz w:val="26"/>
          <w:lang w:val="en-GB"/>
        </w:rPr>
      </w:pPr>
      <w:r w:rsidRPr="00044FFB">
        <w:rPr>
          <w:rStyle w:val="Krepko"/>
          <w:rFonts w:ascii="UniverzaSans" w:eastAsiaTheme="majorEastAsia" w:hAnsi="UniverzaSans"/>
          <w:sz w:val="26"/>
          <w:lang w:val="en-GB"/>
        </w:rPr>
        <w:t>V.</w:t>
      </w:r>
      <w:r w:rsidRPr="00044FFB">
        <w:rPr>
          <w:rStyle w:val="Krepko"/>
          <w:rFonts w:ascii="UniverzaSans" w:eastAsiaTheme="majorEastAsia" w:hAnsi="UniverzaSans"/>
          <w:sz w:val="26"/>
          <w:lang w:val="en-GB"/>
        </w:rPr>
        <w:t xml:space="preserve"> </w:t>
      </w:r>
      <w:r w:rsidRPr="00044FFB">
        <w:rPr>
          <w:rStyle w:val="Krepko"/>
          <w:rFonts w:ascii="UniverzaSans" w:eastAsiaTheme="majorEastAsia" w:hAnsi="UniverzaSans"/>
          <w:sz w:val="26"/>
          <w:lang w:val="en-GB"/>
        </w:rPr>
        <w:t>Misconduct</w:t>
      </w:r>
    </w:p>
    <w:p w14:paraId="061DE1A3" w14:textId="7BA65593" w:rsidR="00044FFB" w:rsidRPr="00044FFB" w:rsidRDefault="00044FFB" w:rsidP="00044FFB">
      <w:pPr>
        <w:pStyle w:val="Navadensplet"/>
        <w:spacing w:before="120" w:beforeAutospacing="0" w:after="240" w:afterAutospacing="0"/>
        <w:jc w:val="both"/>
        <w:rPr>
          <w:rFonts w:ascii="UniverzaSans" w:hAnsi="UniverzaSans"/>
          <w:lang w:val="en-GB"/>
        </w:rPr>
      </w:pPr>
      <w:r w:rsidRPr="00044FFB">
        <w:rPr>
          <w:rFonts w:ascii="UniverzaSans" w:hAnsi="UniverzaSans"/>
          <w:lang w:val="en-GB"/>
        </w:rPr>
        <w:t>In the event of a violation of the obligations defined in this statement, the editorial board will conduct necessary inquiries and decide on appropriate measures to rectify the consequences of the violation, including retraction or correction of disputed contributions.</w:t>
      </w:r>
    </w:p>
    <w:p w14:paraId="5346926C" w14:textId="77777777" w:rsidR="00044FFB" w:rsidRPr="00044FFB" w:rsidRDefault="00044FFB" w:rsidP="00044FFB">
      <w:pPr>
        <w:pStyle w:val="Navadensplet"/>
        <w:spacing w:before="120" w:beforeAutospacing="0" w:after="120" w:afterAutospacing="0"/>
        <w:jc w:val="both"/>
        <w:rPr>
          <w:rFonts w:ascii="UniverzaSans" w:hAnsi="UniverzaSans"/>
          <w:sz w:val="26"/>
          <w:lang w:val="en-GB"/>
        </w:rPr>
      </w:pPr>
      <w:r w:rsidRPr="00044FFB">
        <w:rPr>
          <w:rStyle w:val="Krepko"/>
          <w:rFonts w:ascii="UniverzaSans" w:eastAsiaTheme="majorEastAsia" w:hAnsi="UniverzaSans"/>
          <w:sz w:val="26"/>
          <w:lang w:val="en-GB"/>
        </w:rPr>
        <w:t>VI.</w:t>
      </w:r>
    </w:p>
    <w:p w14:paraId="4365CBDC" w14:textId="66C29E7A"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Fonts w:ascii="UniverzaSans" w:hAnsi="UniverzaSans"/>
          <w:lang w:val="en-GB"/>
        </w:rPr>
        <w:t>This statement was adopted by the editorial board on October 28, 2014.</w:t>
      </w:r>
    </w:p>
    <w:p w14:paraId="189767D1" w14:textId="77777777" w:rsidR="00044FFB" w:rsidRDefault="00044FFB" w:rsidP="00044FFB">
      <w:pPr>
        <w:pStyle w:val="Navadensplet"/>
        <w:spacing w:before="120" w:beforeAutospacing="0" w:after="120" w:afterAutospacing="0"/>
        <w:jc w:val="both"/>
        <w:rPr>
          <w:rFonts w:ascii="UniverzaSans" w:hAnsi="UniverzaSans"/>
          <w:lang w:val="en-GB"/>
        </w:rPr>
      </w:pPr>
      <w:r w:rsidRPr="00044FFB">
        <w:rPr>
          <w:rStyle w:val="Poudarek"/>
          <w:rFonts w:ascii="UniverzaSans" w:eastAsiaTheme="majorEastAsia" w:hAnsi="UniverzaSans"/>
          <w:lang w:val="en-GB"/>
        </w:rPr>
        <w:t xml:space="preserve">Assoc. Prof. </w:t>
      </w:r>
      <w:proofErr w:type="spellStart"/>
      <w:r w:rsidRPr="00044FFB">
        <w:rPr>
          <w:rStyle w:val="Poudarek"/>
          <w:rFonts w:ascii="UniverzaSans" w:eastAsiaTheme="majorEastAsia" w:hAnsi="UniverzaSans"/>
          <w:lang w:val="en-GB"/>
        </w:rPr>
        <w:t>Dr.</w:t>
      </w:r>
      <w:proofErr w:type="spellEnd"/>
      <w:r w:rsidRPr="00044FFB">
        <w:rPr>
          <w:rStyle w:val="Poudarek"/>
          <w:rFonts w:ascii="UniverzaSans" w:eastAsiaTheme="majorEastAsia" w:hAnsi="UniverzaSans"/>
          <w:lang w:val="en-GB"/>
        </w:rPr>
        <w:t xml:space="preserve"> Primož Gorkič</w:t>
      </w:r>
    </w:p>
    <w:p w14:paraId="3A9018E4" w14:textId="5C6B39DB" w:rsidR="00044FFB" w:rsidRPr="00044FFB" w:rsidRDefault="00044FFB" w:rsidP="00044FFB">
      <w:pPr>
        <w:pStyle w:val="Navadensplet"/>
        <w:spacing w:before="120" w:beforeAutospacing="0" w:after="120" w:afterAutospacing="0"/>
        <w:jc w:val="both"/>
        <w:rPr>
          <w:rFonts w:ascii="UniverzaSans" w:hAnsi="UniverzaSans"/>
          <w:lang w:val="en-GB"/>
        </w:rPr>
      </w:pPr>
      <w:r w:rsidRPr="00044FFB">
        <w:rPr>
          <w:rStyle w:val="Krepko"/>
          <w:rFonts w:ascii="UniverzaSans" w:eastAsiaTheme="majorEastAsia" w:hAnsi="UniverzaSans"/>
          <w:lang w:val="en-GB"/>
        </w:rPr>
        <w:t>Editor-in-Chief</w:t>
      </w:r>
      <w:bookmarkStart w:id="0" w:name="_GoBack"/>
      <w:bookmarkEnd w:id="0"/>
    </w:p>
    <w:p w14:paraId="4517AAAF" w14:textId="77777777" w:rsidR="00044FFB" w:rsidRPr="00044FFB" w:rsidRDefault="00044FFB" w:rsidP="00044FFB">
      <w:pPr>
        <w:spacing w:before="120" w:after="120"/>
        <w:jc w:val="both"/>
        <w:rPr>
          <w:rFonts w:ascii="UniverzaSans" w:hAnsi="UniverzaSans"/>
        </w:rPr>
      </w:pPr>
    </w:p>
    <w:p w14:paraId="37FBDCD5" w14:textId="77777777" w:rsidR="00044FFB" w:rsidRPr="00044FFB" w:rsidRDefault="00044FFB" w:rsidP="00044FFB">
      <w:pPr>
        <w:spacing w:before="120" w:after="120"/>
        <w:jc w:val="both"/>
        <w:rPr>
          <w:rFonts w:ascii="UniverzaSans" w:hAnsi="UniverzaSans"/>
          <w:lang w:val="en-GB"/>
        </w:rPr>
      </w:pPr>
    </w:p>
    <w:p w14:paraId="2D40B84D" w14:textId="5CF87167" w:rsidR="006A45EF" w:rsidRPr="00044FFB" w:rsidRDefault="006A45EF" w:rsidP="00044FFB">
      <w:pPr>
        <w:spacing w:before="120" w:after="120"/>
        <w:jc w:val="both"/>
        <w:rPr>
          <w:rFonts w:ascii="UniverzaSans" w:hAnsi="UniverzaSans"/>
          <w:color w:val="auto"/>
          <w:sz w:val="24"/>
          <w:lang w:val="sl-SI"/>
        </w:rPr>
      </w:pPr>
      <w:r w:rsidRPr="00044FFB">
        <w:rPr>
          <w:rFonts w:ascii="UniverzaSans" w:hAnsi="UniverzaSans"/>
          <w:color w:val="auto"/>
          <w:sz w:val="24"/>
          <w:lang w:val="sl-SI"/>
        </w:rPr>
        <w:t xml:space="preserve"> </w:t>
      </w:r>
    </w:p>
    <w:sectPr w:rsidR="006A45EF" w:rsidRPr="00044FFB" w:rsidSect="00EE3400">
      <w:footerReference w:type="default" r:id="rId10"/>
      <w:pgSz w:w="11906" w:h="16838"/>
      <w:pgMar w:top="1644" w:right="1644" w:bottom="181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AF1B" w14:textId="77777777" w:rsidR="002226E9" w:rsidRDefault="002226E9" w:rsidP="00540471">
      <w:pPr>
        <w:spacing w:after="0" w:line="240" w:lineRule="auto"/>
      </w:pPr>
      <w:r>
        <w:separator/>
      </w:r>
    </w:p>
  </w:endnote>
  <w:endnote w:type="continuationSeparator" w:id="0">
    <w:p w14:paraId="1B10C341" w14:textId="77777777" w:rsidR="002226E9" w:rsidRDefault="002226E9" w:rsidP="0054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za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406253"/>
      <w:docPartObj>
        <w:docPartGallery w:val="Page Numbers (Bottom of Page)"/>
        <w:docPartUnique/>
      </w:docPartObj>
    </w:sdtPr>
    <w:sdtEndPr/>
    <w:sdtContent>
      <w:p w14:paraId="7861AADA" w14:textId="375E6F03" w:rsidR="00A80EBC" w:rsidRDefault="00A80EBC">
        <w:pPr>
          <w:pStyle w:val="Noga"/>
          <w:jc w:val="right"/>
        </w:pPr>
        <w:r>
          <w:fldChar w:fldCharType="begin"/>
        </w:r>
        <w:r>
          <w:instrText>PAGE   \* MERGEFORMAT</w:instrText>
        </w:r>
        <w:r>
          <w:fldChar w:fldCharType="separate"/>
        </w:r>
        <w:r>
          <w:rPr>
            <w:lang w:val="sl-SI"/>
          </w:rPr>
          <w:t>2</w:t>
        </w:r>
        <w:r>
          <w:fldChar w:fldCharType="end"/>
        </w:r>
        <w:r w:rsidR="00EE3400">
          <w:t>/</w:t>
        </w:r>
        <w:fldSimple w:instr=" NUMPAGES   \* MERGEFORMAT ">
          <w:r w:rsidR="00EE3400">
            <w:rPr>
              <w:noProof/>
            </w:rPr>
            <w:t>1</w:t>
          </w:r>
        </w:fldSimple>
      </w:p>
    </w:sdtContent>
  </w:sdt>
  <w:p w14:paraId="3A7300B7" w14:textId="13C41C15" w:rsidR="00A80EBC" w:rsidRDefault="00044FFB" w:rsidP="00044FFB">
    <w:pPr>
      <w:pStyle w:val="Noga"/>
      <w:tabs>
        <w:tab w:val="clear" w:pos="9072"/>
        <w:tab w:val="left"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64FC" w14:textId="77777777" w:rsidR="002226E9" w:rsidRDefault="002226E9" w:rsidP="00540471">
      <w:pPr>
        <w:spacing w:after="0" w:line="240" w:lineRule="auto"/>
      </w:pPr>
      <w:r>
        <w:separator/>
      </w:r>
    </w:p>
  </w:footnote>
  <w:footnote w:type="continuationSeparator" w:id="0">
    <w:p w14:paraId="41DFF47E" w14:textId="77777777" w:rsidR="002226E9" w:rsidRDefault="002226E9" w:rsidP="00540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A7A96"/>
    <w:multiLevelType w:val="hybridMultilevel"/>
    <w:tmpl w:val="3C2CBA7C"/>
    <w:lvl w:ilvl="0" w:tplc="0424000D">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15:restartNumberingAfterBreak="0">
    <w:nsid w:val="3656459B"/>
    <w:multiLevelType w:val="hybridMultilevel"/>
    <w:tmpl w:val="6BF875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9CD05BA"/>
    <w:multiLevelType w:val="hybridMultilevel"/>
    <w:tmpl w:val="A2761022"/>
    <w:lvl w:ilvl="0" w:tplc="0809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DB5D5B"/>
    <w:multiLevelType w:val="hybridMultilevel"/>
    <w:tmpl w:val="7DCA132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1C760C"/>
    <w:multiLevelType w:val="hybridMultilevel"/>
    <w:tmpl w:val="FFEA7EA6"/>
    <w:lvl w:ilvl="0" w:tplc="0809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13601A7"/>
    <w:multiLevelType w:val="hybridMultilevel"/>
    <w:tmpl w:val="16E48768"/>
    <w:lvl w:ilvl="0" w:tplc="0809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71"/>
    <w:rsid w:val="00014D85"/>
    <w:rsid w:val="00044FFB"/>
    <w:rsid w:val="00121194"/>
    <w:rsid w:val="001B269C"/>
    <w:rsid w:val="001D4DD4"/>
    <w:rsid w:val="002226E9"/>
    <w:rsid w:val="00285801"/>
    <w:rsid w:val="002B67ED"/>
    <w:rsid w:val="0035107F"/>
    <w:rsid w:val="00367AA6"/>
    <w:rsid w:val="004F49AD"/>
    <w:rsid w:val="005173FE"/>
    <w:rsid w:val="00540471"/>
    <w:rsid w:val="005459F9"/>
    <w:rsid w:val="005E6277"/>
    <w:rsid w:val="00637715"/>
    <w:rsid w:val="0066786B"/>
    <w:rsid w:val="006A45EF"/>
    <w:rsid w:val="007505AF"/>
    <w:rsid w:val="0079623F"/>
    <w:rsid w:val="00882C08"/>
    <w:rsid w:val="009253F4"/>
    <w:rsid w:val="009F5E95"/>
    <w:rsid w:val="00A77938"/>
    <w:rsid w:val="00A80EBC"/>
    <w:rsid w:val="00B73F8C"/>
    <w:rsid w:val="00CA5D30"/>
    <w:rsid w:val="00EE3400"/>
    <w:rsid w:val="00F30C8E"/>
    <w:rsid w:val="00F67CD4"/>
    <w:rsid w:val="00F724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A4495"/>
  <w15:chartTrackingRefBased/>
  <w15:docId w15:val="{5E896974-9741-4699-A15C-54F95F0B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80EBC"/>
    <w:pPr>
      <w:spacing w:line="259" w:lineRule="auto"/>
    </w:pPr>
    <w:rPr>
      <w:rFonts w:ascii="Arial" w:eastAsia="Calibri" w:hAnsi="Arial" w:cs="Calibri"/>
      <w:color w:val="000000"/>
      <w:sz w:val="20"/>
      <w:lang w:val="en-US" w:bidi="en-US"/>
    </w:rPr>
  </w:style>
  <w:style w:type="paragraph" w:styleId="Naslov1">
    <w:name w:val="heading 1"/>
    <w:basedOn w:val="Navaden"/>
    <w:next w:val="Navaden"/>
    <w:link w:val="Naslov1Znak"/>
    <w:uiPriority w:val="9"/>
    <w:qFormat/>
    <w:rsid w:val="0054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4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4047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4047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4047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4047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4047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4047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4047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047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4047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4047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4047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4047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4047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4047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4047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40471"/>
    <w:rPr>
      <w:rFonts w:eastAsiaTheme="majorEastAsia" w:cstheme="majorBidi"/>
      <w:color w:val="272727" w:themeColor="text1" w:themeTint="D8"/>
    </w:rPr>
  </w:style>
  <w:style w:type="paragraph" w:styleId="Naslov">
    <w:name w:val="Title"/>
    <w:basedOn w:val="Navaden"/>
    <w:next w:val="Navaden"/>
    <w:link w:val="NaslovZnak"/>
    <w:uiPriority w:val="10"/>
    <w:qFormat/>
    <w:rsid w:val="0054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047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4047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4047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40471"/>
    <w:pPr>
      <w:spacing w:before="160"/>
      <w:jc w:val="center"/>
    </w:pPr>
    <w:rPr>
      <w:i/>
      <w:iCs/>
      <w:color w:val="404040" w:themeColor="text1" w:themeTint="BF"/>
    </w:rPr>
  </w:style>
  <w:style w:type="character" w:customStyle="1" w:styleId="CitatZnak">
    <w:name w:val="Citat Znak"/>
    <w:basedOn w:val="Privzetapisavaodstavka"/>
    <w:link w:val="Citat"/>
    <w:uiPriority w:val="29"/>
    <w:rsid w:val="00540471"/>
    <w:rPr>
      <w:i/>
      <w:iCs/>
      <w:color w:val="404040" w:themeColor="text1" w:themeTint="BF"/>
    </w:rPr>
  </w:style>
  <w:style w:type="paragraph" w:styleId="Odstavekseznama">
    <w:name w:val="List Paragraph"/>
    <w:basedOn w:val="Navaden"/>
    <w:uiPriority w:val="34"/>
    <w:qFormat/>
    <w:rsid w:val="00540471"/>
    <w:pPr>
      <w:ind w:left="720"/>
      <w:contextualSpacing/>
    </w:pPr>
  </w:style>
  <w:style w:type="character" w:styleId="Intenzivenpoudarek">
    <w:name w:val="Intense Emphasis"/>
    <w:basedOn w:val="Privzetapisavaodstavka"/>
    <w:uiPriority w:val="21"/>
    <w:qFormat/>
    <w:rsid w:val="00540471"/>
    <w:rPr>
      <w:i/>
      <w:iCs/>
      <w:color w:val="0F4761" w:themeColor="accent1" w:themeShade="BF"/>
    </w:rPr>
  </w:style>
  <w:style w:type="paragraph" w:styleId="Intenzivencitat">
    <w:name w:val="Intense Quote"/>
    <w:basedOn w:val="Navaden"/>
    <w:next w:val="Navaden"/>
    <w:link w:val="IntenzivencitatZnak"/>
    <w:uiPriority w:val="30"/>
    <w:qFormat/>
    <w:rsid w:val="0054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40471"/>
    <w:rPr>
      <w:i/>
      <w:iCs/>
      <w:color w:val="0F4761" w:themeColor="accent1" w:themeShade="BF"/>
    </w:rPr>
  </w:style>
  <w:style w:type="character" w:styleId="Intenzivensklic">
    <w:name w:val="Intense Reference"/>
    <w:basedOn w:val="Privzetapisavaodstavka"/>
    <w:uiPriority w:val="32"/>
    <w:qFormat/>
    <w:rsid w:val="00540471"/>
    <w:rPr>
      <w:b/>
      <w:bCs/>
      <w:smallCaps/>
      <w:color w:val="0F4761" w:themeColor="accent1" w:themeShade="BF"/>
      <w:spacing w:val="5"/>
    </w:rPr>
  </w:style>
  <w:style w:type="paragraph" w:styleId="Glava">
    <w:name w:val="header"/>
    <w:basedOn w:val="Navaden"/>
    <w:link w:val="GlavaZnak"/>
    <w:uiPriority w:val="99"/>
    <w:unhideWhenUsed/>
    <w:rsid w:val="00540471"/>
    <w:pPr>
      <w:tabs>
        <w:tab w:val="center" w:pos="4536"/>
        <w:tab w:val="right" w:pos="9072"/>
      </w:tabs>
      <w:spacing w:after="0" w:line="240" w:lineRule="auto"/>
    </w:pPr>
  </w:style>
  <w:style w:type="character" w:customStyle="1" w:styleId="GlavaZnak">
    <w:name w:val="Glava Znak"/>
    <w:basedOn w:val="Privzetapisavaodstavka"/>
    <w:link w:val="Glava"/>
    <w:uiPriority w:val="99"/>
    <w:rsid w:val="00540471"/>
  </w:style>
  <w:style w:type="paragraph" w:styleId="Noga">
    <w:name w:val="footer"/>
    <w:basedOn w:val="Navaden"/>
    <w:link w:val="NogaZnak"/>
    <w:uiPriority w:val="99"/>
    <w:unhideWhenUsed/>
    <w:rsid w:val="00540471"/>
    <w:pPr>
      <w:tabs>
        <w:tab w:val="center" w:pos="4536"/>
        <w:tab w:val="right" w:pos="9072"/>
      </w:tabs>
      <w:spacing w:after="0" w:line="240" w:lineRule="auto"/>
    </w:pPr>
  </w:style>
  <w:style w:type="character" w:customStyle="1" w:styleId="NogaZnak">
    <w:name w:val="Noga Znak"/>
    <w:basedOn w:val="Privzetapisavaodstavka"/>
    <w:link w:val="Noga"/>
    <w:uiPriority w:val="99"/>
    <w:rsid w:val="00540471"/>
  </w:style>
  <w:style w:type="paragraph" w:styleId="Navadensplet">
    <w:name w:val="Normal (Web)"/>
    <w:basedOn w:val="Navaden"/>
    <w:uiPriority w:val="99"/>
    <w:unhideWhenUsed/>
    <w:rsid w:val="00A80EBC"/>
    <w:pPr>
      <w:spacing w:before="100" w:beforeAutospacing="1" w:after="100" w:afterAutospacing="1" w:line="240" w:lineRule="auto"/>
    </w:pPr>
    <w:rPr>
      <w:rFonts w:ascii="Times New Roman" w:eastAsia="Times New Roman" w:hAnsi="Times New Roman" w:cs="Times New Roman"/>
      <w:color w:val="auto"/>
      <w:kern w:val="0"/>
      <w:sz w:val="24"/>
      <w:lang w:eastAsia="en-GB" w:bidi="ar-SA"/>
      <w14:ligatures w14:val="none"/>
    </w:rPr>
  </w:style>
  <w:style w:type="character" w:styleId="Pripombasklic">
    <w:name w:val="annotation reference"/>
    <w:basedOn w:val="Privzetapisavaodstavka"/>
    <w:uiPriority w:val="99"/>
    <w:semiHidden/>
    <w:unhideWhenUsed/>
    <w:rsid w:val="006A45EF"/>
    <w:rPr>
      <w:sz w:val="16"/>
      <w:szCs w:val="16"/>
    </w:rPr>
  </w:style>
  <w:style w:type="paragraph" w:styleId="Pripombabesedilo">
    <w:name w:val="annotation text"/>
    <w:basedOn w:val="Navaden"/>
    <w:link w:val="PripombabesediloZnak"/>
    <w:uiPriority w:val="99"/>
    <w:semiHidden/>
    <w:unhideWhenUsed/>
    <w:rsid w:val="006A45EF"/>
    <w:pPr>
      <w:spacing w:line="240" w:lineRule="auto"/>
    </w:pPr>
    <w:rPr>
      <w:szCs w:val="20"/>
    </w:rPr>
  </w:style>
  <w:style w:type="character" w:customStyle="1" w:styleId="PripombabesediloZnak">
    <w:name w:val="Pripomba – besedilo Znak"/>
    <w:basedOn w:val="Privzetapisavaodstavka"/>
    <w:link w:val="Pripombabesedilo"/>
    <w:uiPriority w:val="99"/>
    <w:semiHidden/>
    <w:rsid w:val="006A45EF"/>
    <w:rPr>
      <w:rFonts w:ascii="Arial" w:eastAsia="Calibri" w:hAnsi="Arial" w:cs="Calibri"/>
      <w:color w:val="000000"/>
      <w:sz w:val="20"/>
      <w:szCs w:val="20"/>
      <w:lang w:val="en-US" w:bidi="en-US"/>
    </w:rPr>
  </w:style>
  <w:style w:type="paragraph" w:styleId="Zadevapripombe">
    <w:name w:val="annotation subject"/>
    <w:basedOn w:val="Pripombabesedilo"/>
    <w:next w:val="Pripombabesedilo"/>
    <w:link w:val="ZadevapripombeZnak"/>
    <w:uiPriority w:val="99"/>
    <w:semiHidden/>
    <w:unhideWhenUsed/>
    <w:rsid w:val="006A45EF"/>
    <w:rPr>
      <w:b/>
      <w:bCs/>
    </w:rPr>
  </w:style>
  <w:style w:type="character" w:customStyle="1" w:styleId="ZadevapripombeZnak">
    <w:name w:val="Zadeva pripombe Znak"/>
    <w:basedOn w:val="PripombabesediloZnak"/>
    <w:link w:val="Zadevapripombe"/>
    <w:uiPriority w:val="99"/>
    <w:semiHidden/>
    <w:rsid w:val="006A45EF"/>
    <w:rPr>
      <w:rFonts w:ascii="Arial" w:eastAsia="Calibri" w:hAnsi="Arial" w:cs="Calibri"/>
      <w:b/>
      <w:bCs/>
      <w:color w:val="000000"/>
      <w:sz w:val="20"/>
      <w:szCs w:val="20"/>
      <w:lang w:val="en-US" w:bidi="en-US"/>
    </w:rPr>
  </w:style>
  <w:style w:type="paragraph" w:styleId="Besedilooblaka">
    <w:name w:val="Balloon Text"/>
    <w:basedOn w:val="Navaden"/>
    <w:link w:val="BesedilooblakaZnak"/>
    <w:uiPriority w:val="99"/>
    <w:semiHidden/>
    <w:unhideWhenUsed/>
    <w:rsid w:val="006A45E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A45EF"/>
    <w:rPr>
      <w:rFonts w:ascii="Segoe UI" w:eastAsia="Calibri" w:hAnsi="Segoe UI" w:cs="Segoe UI"/>
      <w:color w:val="000000"/>
      <w:sz w:val="18"/>
      <w:szCs w:val="18"/>
      <w:lang w:val="en-US" w:bidi="en-US"/>
    </w:rPr>
  </w:style>
  <w:style w:type="character" w:styleId="Krepko">
    <w:name w:val="Strong"/>
    <w:basedOn w:val="Privzetapisavaodstavka"/>
    <w:uiPriority w:val="22"/>
    <w:qFormat/>
    <w:rsid w:val="00044FFB"/>
    <w:rPr>
      <w:b/>
      <w:bCs/>
    </w:rPr>
  </w:style>
  <w:style w:type="character" w:styleId="Poudarek">
    <w:name w:val="Emphasis"/>
    <w:basedOn w:val="Privzetapisavaodstavka"/>
    <w:uiPriority w:val="20"/>
    <w:qFormat/>
    <w:rsid w:val="00044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02CD1-54D9-45CF-A0BA-F7E05DF42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7C28D0-89F9-4CC0-ACC3-AB6B468E000F}">
  <ds:schemaRefs>
    <ds:schemaRef ds:uri="http://schemas.microsoft.com/sharepoint/v3/contenttype/forms"/>
  </ds:schemaRefs>
</ds:datastoreItem>
</file>

<file path=customXml/itemProps3.xml><?xml version="1.0" encoding="utf-8"?>
<ds:datastoreItem xmlns:ds="http://schemas.openxmlformats.org/officeDocument/2006/customXml" ds:itemID="{EBD846C1-B6FB-4EC7-94AD-F6D8927FC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2753</Characters>
  <Application>Microsoft Office Word</Application>
  <DocSecurity>0</DocSecurity>
  <Lines>67</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Malić, Zlatko</dc:creator>
  <cp:keywords/>
  <dc:description/>
  <cp:lastModifiedBy>Mišič, Luka</cp:lastModifiedBy>
  <cp:revision>2</cp:revision>
  <cp:lastPrinted>2024-06-28T13:16:00Z</cp:lastPrinted>
  <dcterms:created xsi:type="dcterms:W3CDTF">2024-12-02T10:08:00Z</dcterms:created>
  <dcterms:modified xsi:type="dcterms:W3CDTF">2024-12-02T10:08:00Z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y fmtid="{D5CDD505-2E9C-101B-9397-08002B2CF9AE}" pid="3" name="GrammarlyDocumentId">
    <vt:lpwstr>e487db25c5b889a4f1815b6f2b66bbf1b9cae542719506e65e03bb2f07b620a8</vt:lpwstr>
  </property>
</Properties>
</file>