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2"/>
        <w:gridCol w:w="158"/>
        <w:gridCol w:w="1021"/>
        <w:gridCol w:w="488"/>
        <w:gridCol w:w="572"/>
        <w:gridCol w:w="358"/>
        <w:gridCol w:w="481"/>
        <w:gridCol w:w="9"/>
        <w:gridCol w:w="142"/>
        <w:gridCol w:w="785"/>
        <w:gridCol w:w="63"/>
        <w:gridCol w:w="988"/>
        <w:gridCol w:w="364"/>
        <w:gridCol w:w="1193"/>
        <w:gridCol w:w="224"/>
        <w:gridCol w:w="132"/>
        <w:gridCol w:w="1070"/>
      </w:tblGrid>
      <w:tr w:rsidR="00544628">
        <w:tc>
          <w:tcPr>
            <w:tcW w:w="96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bookmarkStart w:id="0" w:name="_GoBack"/>
            <w:bookmarkEnd w:id="0"/>
            <w:r>
              <w:rPr>
                <w:rFonts w:cs="Calibri"/>
                <w:b/>
                <w:szCs w:val="22"/>
              </w:rPr>
              <w:t>UČNI NAČRT PREDMETA / COURSE SYLLABUS</w:t>
            </w:r>
          </w:p>
        </w:tc>
      </w:tr>
      <w:tr w:rsidR="00544628">
        <w:tc>
          <w:tcPr>
            <w:tcW w:w="1799" w:type="dxa"/>
            <w:gridSpan w:val="3"/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Predmet:</w:t>
            </w:r>
          </w:p>
        </w:tc>
        <w:tc>
          <w:tcPr>
            <w:tcW w:w="78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Varstvo zasebnosti v kazenskih postopkih</w:t>
            </w:r>
          </w:p>
        </w:tc>
      </w:tr>
      <w:tr w:rsidR="00544628">
        <w:tc>
          <w:tcPr>
            <w:tcW w:w="1799" w:type="dxa"/>
            <w:gridSpan w:val="3"/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Course title:</w:t>
            </w:r>
          </w:p>
        </w:tc>
        <w:tc>
          <w:tcPr>
            <w:tcW w:w="78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9B26A4">
            <w:pPr>
              <w:rPr>
                <w:rFonts w:cs="Calibri"/>
                <w:szCs w:val="22"/>
              </w:rPr>
            </w:pPr>
            <w:bookmarkStart w:id="1" w:name="APredmet"/>
            <w:bookmarkEnd w:id="1"/>
            <w:r>
              <w:rPr>
                <w:rFonts w:cs="Calibri"/>
                <w:szCs w:val="22"/>
              </w:rPr>
              <w:t>Protection of Privacy in Criminal Justice S</w:t>
            </w:r>
            <w:r w:rsidRPr="009B26A4">
              <w:rPr>
                <w:rFonts w:cs="Calibri"/>
                <w:szCs w:val="22"/>
              </w:rPr>
              <w:t>ystem</w:t>
            </w:r>
          </w:p>
        </w:tc>
      </w:tr>
      <w:tr w:rsidR="00544628">
        <w:tc>
          <w:tcPr>
            <w:tcW w:w="3308" w:type="dxa"/>
            <w:gridSpan w:val="5"/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3398" w:type="dxa"/>
            <w:gridSpan w:val="8"/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szCs w:val="22"/>
              </w:rPr>
            </w:pPr>
          </w:p>
        </w:tc>
      </w:tr>
      <w:tr w:rsidR="00544628">
        <w:tc>
          <w:tcPr>
            <w:tcW w:w="330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Študijski program in stopnja</w:t>
            </w:r>
          </w:p>
          <w:p w:rsidR="00544628" w:rsidRDefault="001517E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Study programme and level</w:t>
            </w:r>
          </w:p>
        </w:tc>
        <w:tc>
          <w:tcPr>
            <w:tcW w:w="339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Študijska smer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Study field</w:t>
            </w: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Letnik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Academic year</w:t>
            </w:r>
          </w:p>
        </w:tc>
        <w:tc>
          <w:tcPr>
            <w:tcW w:w="14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Semester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Semester</w:t>
            </w:r>
          </w:p>
        </w:tc>
      </w:tr>
      <w:tr w:rsidR="00544628">
        <w:trPr>
          <w:trHeight w:val="318"/>
        </w:trPr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Prvostopenjski UN študij</w:t>
            </w:r>
          </w:p>
          <w:p w:rsidR="00544628" w:rsidRDefault="001517E1"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Program Pravo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rPr>
                <w:rFonts w:eastAsia="Calibri" w:cs="Calibri"/>
                <w:b/>
                <w:bCs/>
                <w:szCs w:val="22"/>
              </w:rPr>
              <w:t>2., 3., 4.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Zimski</w:t>
            </w:r>
          </w:p>
        </w:tc>
      </w:tr>
      <w:tr w:rsidR="00544628">
        <w:trPr>
          <w:trHeight w:val="318"/>
        </w:trPr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544628">
        <w:trPr>
          <w:trHeight w:val="103"/>
        </w:trPr>
        <w:tc>
          <w:tcPr>
            <w:tcW w:w="9688" w:type="dxa"/>
            <w:gridSpan w:val="18"/>
            <w:shd w:val="clear" w:color="auto" w:fill="auto"/>
          </w:tcPr>
          <w:p w:rsidR="00544628" w:rsidRDefault="00544628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544628">
        <w:tc>
          <w:tcPr>
            <w:tcW w:w="5718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Vrsta predmeta / Course type</w:t>
            </w: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Izbirni</w:t>
            </w:r>
          </w:p>
        </w:tc>
      </w:tr>
      <w:tr w:rsidR="00544628">
        <w:tc>
          <w:tcPr>
            <w:tcW w:w="5718" w:type="dxa"/>
            <w:gridSpan w:val="12"/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szCs w:val="22"/>
              </w:rPr>
            </w:pPr>
          </w:p>
        </w:tc>
      </w:tr>
      <w:tr w:rsidR="00544628">
        <w:tc>
          <w:tcPr>
            <w:tcW w:w="5718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Univerzitetna koda predmeta / University course code:</w:t>
            </w: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szCs w:val="22"/>
              </w:rPr>
            </w:pPr>
          </w:p>
        </w:tc>
      </w:tr>
      <w:tr w:rsidR="00544628">
        <w:tc>
          <w:tcPr>
            <w:tcW w:w="9688" w:type="dxa"/>
            <w:gridSpan w:val="18"/>
            <w:shd w:val="clear" w:color="auto" w:fill="auto"/>
          </w:tcPr>
          <w:p w:rsidR="00544628" w:rsidRDefault="00544628">
            <w:pPr>
              <w:rPr>
                <w:rFonts w:cs="Calibri"/>
                <w:szCs w:val="22"/>
              </w:rPr>
            </w:pPr>
          </w:p>
        </w:tc>
      </w:tr>
      <w:tr w:rsidR="00544628"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Predavanja</w:t>
            </w:r>
          </w:p>
          <w:p w:rsidR="00544628" w:rsidRDefault="001517E1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Lectures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Seminar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Seminar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Vaje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Tutorial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Klinične vaje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work</w:t>
            </w:r>
          </w:p>
        </w:tc>
        <w:tc>
          <w:tcPr>
            <w:tcW w:w="141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Druge oblike študija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Samost. delo</w:t>
            </w:r>
          </w:p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Individ. work</w:t>
            </w:r>
          </w:p>
        </w:tc>
        <w:tc>
          <w:tcPr>
            <w:tcW w:w="132" w:type="dxa"/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ECTS</w:t>
            </w:r>
          </w:p>
        </w:tc>
      </w:tr>
      <w:tr w:rsidR="00544628">
        <w:trPr>
          <w:trHeight w:val="318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4E1A27">
            <w:pPr>
              <w:jc w:val="center"/>
              <w:rPr>
                <w:rFonts w:ascii="Calibri" w:eastAsia="Calibri" w:hAnsi="Calibri" w:cs="Calibri"/>
                <w:b/>
                <w:bCs/>
                <w:szCs w:val="22"/>
              </w:rPr>
            </w:pPr>
            <w:r>
              <w:rPr>
                <w:rFonts w:eastAsia="Calibri" w:cs="Calibri"/>
                <w:b/>
                <w:bCs/>
                <w:szCs w:val="22"/>
              </w:rPr>
              <w:t>60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jc w:val="center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60</w:t>
            </w:r>
          </w:p>
        </w:tc>
        <w:tc>
          <w:tcPr>
            <w:tcW w:w="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544628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28" w:rsidRDefault="001517E1">
            <w:pPr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</w:rPr>
              <w:t>4</w:t>
            </w:r>
          </w:p>
        </w:tc>
      </w:tr>
      <w:tr w:rsidR="00544628">
        <w:tc>
          <w:tcPr>
            <w:tcW w:w="9688" w:type="dxa"/>
            <w:gridSpan w:val="18"/>
            <w:shd w:val="clear" w:color="auto" w:fill="auto"/>
          </w:tcPr>
          <w:p w:rsidR="00544628" w:rsidRDefault="00544628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544628">
        <w:tc>
          <w:tcPr>
            <w:tcW w:w="3308" w:type="dxa"/>
            <w:gridSpan w:val="5"/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Nosilec predmeta / Lecturer:</w:t>
            </w:r>
          </w:p>
        </w:tc>
        <w:tc>
          <w:tcPr>
            <w:tcW w:w="6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 w:rsidP="004E1A27">
            <w:pPr>
              <w:rPr>
                <w:rFonts w:ascii="Calibri" w:eastAsia="Calibri" w:hAnsi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izr. prof. dr. Primož Gorkič, prof. dr. Aleš Završnik</w:t>
            </w:r>
          </w:p>
        </w:tc>
      </w:tr>
      <w:tr w:rsidR="00544628">
        <w:tc>
          <w:tcPr>
            <w:tcW w:w="9688" w:type="dxa"/>
            <w:gridSpan w:val="18"/>
            <w:shd w:val="clear" w:color="auto" w:fill="auto"/>
          </w:tcPr>
          <w:p w:rsidR="00544628" w:rsidRDefault="00544628">
            <w:pPr>
              <w:jc w:val="both"/>
              <w:rPr>
                <w:rFonts w:cs="Calibri"/>
                <w:szCs w:val="22"/>
              </w:rPr>
            </w:pPr>
          </w:p>
        </w:tc>
      </w:tr>
      <w:tr w:rsidR="00544628">
        <w:tc>
          <w:tcPr>
            <w:tcW w:w="1641" w:type="dxa"/>
            <w:gridSpan w:val="2"/>
            <w:vMerge w:val="restart"/>
            <w:shd w:val="clear" w:color="auto" w:fill="auto"/>
          </w:tcPr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Jeziki / </w:t>
            </w:r>
          </w:p>
          <w:p w:rsidR="00544628" w:rsidRDefault="001517E1">
            <w:pPr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Languages: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544628" w:rsidRDefault="001517E1">
            <w:pPr>
              <w:jc w:val="righ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Predavanja / Lectures:</w:t>
            </w:r>
          </w:p>
        </w:tc>
        <w:tc>
          <w:tcPr>
            <w:tcW w:w="58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2" w:name="Jezik"/>
            <w:bookmarkEnd w:id="2"/>
            <w:r>
              <w:rPr>
                <w:rFonts w:cs="Calibri"/>
                <w:b/>
                <w:bCs/>
                <w:szCs w:val="22"/>
              </w:rPr>
              <w:t>Slovenski</w:t>
            </w:r>
          </w:p>
        </w:tc>
      </w:tr>
      <w:tr w:rsidR="00544628">
        <w:trPr>
          <w:trHeight w:val="215"/>
        </w:trPr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:rsidR="00544628" w:rsidRDefault="00544628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239" w:type="dxa"/>
            <w:gridSpan w:val="4"/>
            <w:shd w:val="clear" w:color="auto" w:fill="auto"/>
          </w:tcPr>
          <w:p w:rsidR="00544628" w:rsidRDefault="001517E1">
            <w:pPr>
              <w:jc w:val="right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Vaje / Tutorial:</w:t>
            </w:r>
          </w:p>
        </w:tc>
        <w:tc>
          <w:tcPr>
            <w:tcW w:w="58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3" w:name="JezikV"/>
            <w:bookmarkEnd w:id="3"/>
          </w:p>
        </w:tc>
      </w:tr>
      <w:tr w:rsidR="00544628">
        <w:tc>
          <w:tcPr>
            <w:tcW w:w="472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b/>
                <w:bCs/>
                <w:szCs w:val="22"/>
              </w:rPr>
            </w:pPr>
          </w:p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Pogoji za vključitev v delo oz. za opravljanje študijskih obveznosti:</w:t>
            </w:r>
          </w:p>
        </w:tc>
        <w:tc>
          <w:tcPr>
            <w:tcW w:w="142" w:type="dxa"/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  <w:p w:rsidR="00544628" w:rsidRDefault="0054462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1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Prerequisits:</w:t>
            </w:r>
          </w:p>
        </w:tc>
      </w:tr>
      <w:tr w:rsidR="00544628">
        <w:trPr>
          <w:trHeight w:val="2665"/>
        </w:trPr>
        <w:tc>
          <w:tcPr>
            <w:tcW w:w="4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r>
              <w:t xml:space="preserve">Za vključitev v predmet mora študent dokončati prvi </w:t>
            </w:r>
            <w:r>
              <w:rPr>
                <w:rFonts w:eastAsia="Calibri"/>
              </w:rPr>
              <w:t xml:space="preserve">in drugi </w:t>
            </w:r>
            <w:r>
              <w:t xml:space="preserve">semester študija </w:t>
            </w:r>
            <w:r>
              <w:rPr>
                <w:rFonts w:eastAsia="Calibri"/>
              </w:rPr>
              <w:t xml:space="preserve">in </w:t>
            </w:r>
            <w:r>
              <w:t xml:space="preserve">ustrezna znanja s področja </w:t>
            </w:r>
            <w:r>
              <w:rPr>
                <w:rFonts w:eastAsia="Calibri"/>
              </w:rPr>
              <w:t>ustavnega prava in pravoznanstva.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szCs w:val="22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szCs w:val="22"/>
              </w:rPr>
            </w:pPr>
          </w:p>
        </w:tc>
      </w:tr>
      <w:tr w:rsidR="00544628">
        <w:trPr>
          <w:trHeight w:val="137"/>
        </w:trPr>
        <w:tc>
          <w:tcPr>
            <w:tcW w:w="4719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Vsebina:</w:t>
            </w: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50" w:type="dxa"/>
            <w:gridSpan w:val="2"/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="Calibri"/>
                <w:b/>
                <w:szCs w:val="22"/>
              </w:rPr>
            </w:pPr>
          </w:p>
          <w:p w:rsidR="00544628" w:rsidRDefault="001517E1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Content (Syllabus outline):</w:t>
            </w:r>
          </w:p>
        </w:tc>
      </w:tr>
      <w:tr w:rsidR="00544628">
        <w:trPr>
          <w:trHeight w:val="2665"/>
        </w:trPr>
        <w:tc>
          <w:tcPr>
            <w:tcW w:w="4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pStyle w:val="Default"/>
            </w:pPr>
            <w:r>
              <w:rPr>
                <w:rFonts w:asciiTheme="minorHAnsi" w:hAnsiTheme="minorHAnsi" w:cstheme="minorHAnsi"/>
              </w:rPr>
              <w:lastRenderedPageBreak/>
              <w:t>Splošna vprašanja</w:t>
            </w:r>
          </w:p>
          <w:p w:rsidR="00544628" w:rsidRDefault="00544628">
            <w:pPr>
              <w:pStyle w:val="Default"/>
              <w:rPr>
                <w:rFonts w:asciiTheme="minorHAnsi" w:hAnsiTheme="minorHAnsi" w:cstheme="minorHAnsi"/>
              </w:rPr>
            </w:pPr>
          </w:p>
          <w:p w:rsidR="00544628" w:rsidRDefault="001517E1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>Pojem (pravice do) zasebnosti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>Pravica do zasebnosti in tehnološki razvoj: razvoj novih preiskovalnih dejanj in dokaznih sredstev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Pravica do zasebnosti in tehnološki razvoj: vpliv na temeljna načela kazenskega (procesnega) prava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Pravica do zasebnosti, nadzor in policijska dejavnost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>Razvoj varstva osebnih podatkov in povezovanje zbirk osebnih podatkov v EU: kazenskopravni vidiki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Enkripcija in vpliv na preiskovanje kaznivih dejanj</w:t>
            </w:r>
          </w:p>
          <w:p w:rsidR="00544628" w:rsidRDefault="001517E1">
            <w:pPr>
              <w:pStyle w:val="Default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</w:rPr>
              <w:t>Varstvo osebnih podatkov, avtomatizirano odločanje in umetna inteligenca v kazenskem postopku</w:t>
            </w:r>
          </w:p>
          <w:p w:rsidR="00544628" w:rsidRDefault="00544628">
            <w:pPr>
              <w:pStyle w:val="Default"/>
              <w:rPr>
                <w:rFonts w:asciiTheme="minorHAnsi" w:hAnsiTheme="minorHAnsi" w:cstheme="minorHAnsi"/>
              </w:rPr>
            </w:pPr>
          </w:p>
          <w:p w:rsidR="00544628" w:rsidRDefault="001517E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Izbirne vsebine:</w:t>
            </w:r>
          </w:p>
          <w:p w:rsidR="00544628" w:rsidRDefault="00544628">
            <w:pPr>
              <w:pStyle w:val="Default"/>
              <w:rPr>
                <w:rFonts w:asciiTheme="minorHAnsi" w:hAnsiTheme="minorHAnsi" w:cstheme="minorHAnsi"/>
              </w:rPr>
            </w:pPr>
          </w:p>
          <w:p w:rsidR="00544628" w:rsidRDefault="001517E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Prometni podatki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="Calibri" w:hAnsi="Calibri" w:cstheme="minorHAnsi"/>
              </w:rPr>
              <w:t>Policijska dejavnost na svetovnem spletu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="Calibri" w:hAnsi="Calibri" w:cstheme="minorHAnsi"/>
              </w:rPr>
              <w:t>Informatorji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="Calibri" w:hAnsi="Calibri" w:cstheme="minorHAnsi"/>
              </w:rPr>
              <w:t>Meje med obveščevalno in policijsko dejavnostjo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Lovilec IMSI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(Oddaljena) preiskava elektronskih naprav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Brezpilotni letalniki in sistemi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Biometrija: prepoznava obrazov, emocij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Evidenca potnikov iz sistema rezervacij letalskih vozovnic (PNR)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DNK podatki in zbirke</w:t>
            </w:r>
          </w:p>
          <w:p w:rsidR="00544628" w:rsidRDefault="001517E1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Theme="minorHAnsi" w:hAnsiTheme="minorHAnsi" w:cstheme="minorHAnsi"/>
              </w:rPr>
              <w:t>Digitalna forenzika naprav, vozil in interneta stvari</w:t>
            </w:r>
          </w:p>
          <w:p w:rsidR="00544628" w:rsidRDefault="00544628">
            <w:pPr>
              <w:pStyle w:val="Default"/>
              <w:rPr>
                <w:rFonts w:asciiTheme="minorHAnsi" w:hAnsiTheme="minorHAnsi" w:cstheme="minorHAnsi"/>
              </w:rPr>
            </w:pPr>
          </w:p>
          <w:p w:rsidR="00544628" w:rsidRDefault="001517E1">
            <w:pPr>
              <w:pStyle w:val="Default"/>
            </w:pPr>
            <w:r>
              <w:rPr>
                <w:rFonts w:asciiTheme="minorHAnsi" w:hAnsiTheme="minorHAnsi" w:cstheme="minorHAnsi"/>
              </w:rPr>
              <w:t>Izbirne vsebine bodo obravnavane v dogovoru s študenti.</w:t>
            </w:r>
          </w:p>
        </w:tc>
        <w:tc>
          <w:tcPr>
            <w:tcW w:w="1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</w:tr>
    </w:tbl>
    <w:p w:rsidR="00544628" w:rsidRDefault="00544628">
      <w:pPr>
        <w:rPr>
          <w:rFonts w:cstheme="minorHAnsi"/>
        </w:rPr>
      </w:pPr>
    </w:p>
    <w:tbl>
      <w:tblPr>
        <w:tblW w:w="9690" w:type="dxa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6"/>
        <w:gridCol w:w="697"/>
        <w:gridCol w:w="10"/>
        <w:gridCol w:w="142"/>
        <w:gridCol w:w="709"/>
        <w:gridCol w:w="4116"/>
      </w:tblGrid>
      <w:tr w:rsidR="00544628">
        <w:tc>
          <w:tcPr>
            <w:tcW w:w="9690" w:type="dxa"/>
            <w:gridSpan w:val="6"/>
            <w:shd w:val="clear" w:color="auto" w:fill="auto"/>
          </w:tcPr>
          <w:p w:rsidR="00544628" w:rsidRDefault="001517E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Temeljni literatura in viri / Readings: </w:t>
            </w:r>
          </w:p>
        </w:tc>
      </w:tr>
      <w:tr w:rsidR="00544628">
        <w:trPr>
          <w:trHeight w:val="2074"/>
        </w:trPr>
        <w:tc>
          <w:tcPr>
            <w:tcW w:w="9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lastRenderedPageBreak/>
              <w:t>SOLOVE, Daniel, J. Conceptualising Privacy. California Law Review, 90, str. 1087 in nasl.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SOLOVE, Daniel J. "I've Got Nothing to Hide" and Other Misunderstandings of Privacy. San Diego Law Review, 44, str. 745 in nasl.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SOLOVE, Daniel J. Access and Aggregation: Privacy, Public Records, and the Constitution. Minnesota Law Review, 86, str. 1136 in nasl.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KERR, Orin S. Searches and seizures in a digital world. Harvard Law Review, 119, str. 531 in nasl.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GORKIČ, Primož. Sodobni prikriti preiskovalni ukrepi : prvič: lovilec IMSI. Odvetnik : glasilo Odvetniške zbornice Slovenije, ISSN 1408-9440, apr. 2014, leto 16, št. 2, str. 47-53.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GORKIČ, Primož. Judicial oversight of the (mass) collection and processing of personal data. V: ZAVRŠNIK, Aleš (ur.). Big data, crime and social control, (Routledge frontiers of criminal justice, 50). London [i. e.] Abingdon; New York: Routledge, Taylor &amp; Francis Group. 2018, str. 179-196.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GORKIČ, Primož. The (f)utility of privacy laws : the case of drones?. V: ZAVRŠNIK, Aleš (ur.). Drones and unmanned aerial systems : legal and social implications for security and surveillance. Cham [etc.]: Springer. cop. 2016, str. 69-81.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ZAVRŠNIK, Aleš. Algorithmic justice : algorithms and big data in criminal justice settings. European journal of criminology, ISSN 1741-2609, sep. 2019, str. 1-20.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ZAVRŠNIK, Aleš, KRIŽNAR, Primož. Legal standards of location privacy in light of the mosaic theory. V: NEWELL, Bryce Clayton (ur.), TIMAN, Tjerk (ur.), KOOPS, Bert-Jaap (ur.). Surveillance, privacy and public space, (Routledge studies in surveillance, 2). Abingdon; New York: Routledge. 2018, str. 199-220.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 xml:space="preserve"> ZAVRŠNIK, Aleš. Blurring the line between law enforcement and intelligence : sharpening the gaze of surveillance?. Journal of contemporary European research. &lt;Online ed.&gt;. 2013, vol. 9, no. 1, str. 181-202.</w:t>
            </w:r>
          </w:p>
          <w:p w:rsidR="00544628" w:rsidRDefault="001517E1">
            <w:pPr>
              <w:pStyle w:val="Odstavekseznama"/>
              <w:numPr>
                <w:ilvl w:val="0"/>
                <w:numId w:val="4"/>
              </w:numPr>
            </w:pPr>
            <w:r>
              <w:rPr>
                <w:rFonts w:cstheme="minorHAnsi"/>
              </w:rPr>
              <w:t>ZAVRŠNIK, Aleš. The european digital fortress and large biometric EU IT systems : border criminology, technology, and human rights. Dve domovini : razprave o izseljenstvu. [Tiskana izd.]. 2019, [št.] 49, str. 51-67.</w:t>
            </w:r>
          </w:p>
          <w:p w:rsidR="00544628" w:rsidRDefault="00544628">
            <w:pPr>
              <w:rPr>
                <w:rFonts w:cstheme="minorHAnsi"/>
              </w:rPr>
            </w:pPr>
          </w:p>
          <w:p w:rsidR="00544628" w:rsidRDefault="001517E1">
            <w:r>
              <w:rPr>
                <w:rFonts w:cstheme="minorHAnsi"/>
              </w:rPr>
              <w:t>Dodatna literatura in (zlasti) sodna praksa bo slušateljem/icam glede na aktualnost materije sporočena na predavanjih.</w:t>
            </w:r>
          </w:p>
          <w:p w:rsidR="00544628" w:rsidRDefault="001517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544628">
        <w:trPr>
          <w:trHeight w:val="73"/>
        </w:trPr>
        <w:tc>
          <w:tcPr>
            <w:tcW w:w="47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  <w:bCs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Cilji in kompetence:</w:t>
            </w:r>
          </w:p>
        </w:tc>
        <w:tc>
          <w:tcPr>
            <w:tcW w:w="151" w:type="dxa"/>
            <w:gridSpan w:val="2"/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</w:tc>
        <w:tc>
          <w:tcPr>
            <w:tcW w:w="4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GB"/>
              </w:rPr>
              <w:t>Objectives and competences</w:t>
            </w:r>
            <w:r>
              <w:rPr>
                <w:rFonts w:cstheme="minorHAnsi"/>
                <w:b/>
              </w:rPr>
              <w:t>:</w:t>
            </w:r>
          </w:p>
        </w:tc>
      </w:tr>
      <w:tr w:rsidR="00544628">
        <w:trPr>
          <w:trHeight w:val="1838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r>
              <w:rPr>
                <w:rFonts w:cstheme="minorHAnsi"/>
              </w:rPr>
              <w:t xml:space="preserve">Cilj predmeta je slušatelju ponuditi specifična teoretična znanja s področja varstva zasebnosti  v kontekstu kazenskega postopka, ki niso zajeta v učnih načrtih obveznih predmetov kazenskopravne narave. Študenti pridobijo teoretična znanja o naravi pravice do zasebnosti, vkčljučno z varstvo osebnih podatkov, </w:t>
            </w:r>
            <w:r>
              <w:rPr>
                <w:rFonts w:eastAsia="Calibri" w:cstheme="minorHAnsi"/>
              </w:rPr>
              <w:t>in znanja o sodobnih oblastnih in (za kazenski postopek pomembnih) zasebnih posegih v pravico do zasebnosti.</w:t>
            </w:r>
          </w:p>
          <w:p w:rsidR="00544628" w:rsidRDefault="00544628">
            <w:pPr>
              <w:rPr>
                <w:rFonts w:cstheme="minorHAnsi"/>
              </w:rPr>
            </w:pPr>
          </w:p>
          <w:p w:rsidR="00544628" w:rsidRDefault="00544628">
            <w:pPr>
              <w:rPr>
                <w:rFonts w:cstheme="minorHAnsi"/>
              </w:rPr>
            </w:pPr>
          </w:p>
        </w:tc>
        <w:tc>
          <w:tcPr>
            <w:tcW w:w="1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</w:tr>
      <w:tr w:rsidR="00544628">
        <w:trPr>
          <w:trHeight w:val="117"/>
        </w:trPr>
        <w:tc>
          <w:tcPr>
            <w:tcW w:w="47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Predvideni študijski rezultati:</w:t>
            </w:r>
          </w:p>
        </w:tc>
        <w:tc>
          <w:tcPr>
            <w:tcW w:w="142" w:type="dxa"/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544628">
            <w:pPr>
              <w:rPr>
                <w:rFonts w:cstheme="minorHAnsi"/>
                <w:b/>
              </w:rPr>
            </w:pPr>
          </w:p>
        </w:tc>
        <w:tc>
          <w:tcPr>
            <w:tcW w:w="48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Intended learning outcomes:</w:t>
            </w:r>
          </w:p>
        </w:tc>
      </w:tr>
      <w:tr w:rsidR="00544628">
        <w:trPr>
          <w:trHeight w:val="1387"/>
        </w:trPr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r>
              <w:rPr>
                <w:rFonts w:cstheme="minorHAnsi"/>
              </w:rPr>
              <w:t xml:space="preserve">Študent pridobi osnovno znanje o teoretičnih </w:t>
            </w:r>
            <w:r>
              <w:rPr>
                <w:rFonts w:eastAsia="Calibri" w:cstheme="minorHAnsi"/>
              </w:rPr>
              <w:t xml:space="preserve">podlagah za </w:t>
            </w:r>
            <w:r>
              <w:rPr>
                <w:rFonts w:cstheme="minorHAnsi"/>
              </w:rPr>
              <w:t>obravnavo posegov v zasebnost, in specifična znanja o oblikah oblastnega poseganja v pravico do zasebnosti. Zaradi predvidene interaktivne in informacijsko podprte izvedbe predmeta je pričakovati, da bodo študenti sposobni oblikovati in zastopati argumente, uporabne v javnih razpravah in v svojem  poklicnem okolju, npr. nevladnih organizacijah, pravosodju, gospodarstvu.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  <w:p w:rsidR="00544628" w:rsidRDefault="00544628">
            <w:pPr>
              <w:rPr>
                <w:rFonts w:cstheme="minorHAnsi"/>
              </w:rPr>
            </w:pPr>
          </w:p>
          <w:p w:rsidR="00544628" w:rsidRDefault="00544628">
            <w:pPr>
              <w:rPr>
                <w:rFonts w:cstheme="minorHAn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  <w:p w:rsidR="00544628" w:rsidRDefault="00544628">
            <w:pPr>
              <w:rPr>
                <w:rFonts w:cstheme="minorHAnsi"/>
              </w:rPr>
            </w:pPr>
          </w:p>
        </w:tc>
      </w:tr>
      <w:tr w:rsidR="00544628">
        <w:trPr>
          <w:trHeight w:val="1417"/>
        </w:trPr>
        <w:tc>
          <w:tcPr>
            <w:tcW w:w="4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</w:tc>
        <w:tc>
          <w:tcPr>
            <w:tcW w:w="4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</w:tr>
      <w:tr w:rsidR="00544628">
        <w:tc>
          <w:tcPr>
            <w:tcW w:w="47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Metode poučevanja in učenja:</w:t>
            </w:r>
          </w:p>
        </w:tc>
        <w:tc>
          <w:tcPr>
            <w:tcW w:w="142" w:type="dxa"/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544628">
            <w:pPr>
              <w:rPr>
                <w:rFonts w:cstheme="minorHAnsi"/>
                <w:b/>
              </w:rPr>
            </w:pPr>
          </w:p>
        </w:tc>
        <w:tc>
          <w:tcPr>
            <w:tcW w:w="48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Learning and teaching methods:</w:t>
            </w:r>
          </w:p>
        </w:tc>
      </w:tr>
      <w:tr w:rsidR="00544628">
        <w:trPr>
          <w:trHeight w:val="2023"/>
        </w:trPr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r>
              <w:rPr>
                <w:rFonts w:cstheme="minorHAnsi"/>
              </w:rPr>
              <w:t xml:space="preserve">Predavanja, z različnimi oblikami sodelovanja študentov (delo v skupinah, </w:t>
            </w:r>
            <w:r>
              <w:rPr>
                <w:rFonts w:eastAsia="Calibri" w:cstheme="minorHAnsi"/>
              </w:rPr>
              <w:t>problemsko učenje...); individualno delo študentov.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</w:rPr>
            </w:pPr>
          </w:p>
        </w:tc>
      </w:tr>
      <w:tr w:rsidR="00544628">
        <w:tc>
          <w:tcPr>
            <w:tcW w:w="4017" w:type="dxa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Načini ocenjevanja:</w:t>
            </w:r>
          </w:p>
        </w:tc>
        <w:tc>
          <w:tcPr>
            <w:tcW w:w="15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cstheme="minorHAnsi"/>
              </w:rPr>
            </w:pPr>
            <w:r>
              <w:rPr>
                <w:rFonts w:cstheme="minorHAnsi"/>
              </w:rPr>
              <w:t>Delež (v %) /</w:t>
            </w: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Weight (in %)</w:t>
            </w:r>
          </w:p>
        </w:tc>
        <w:tc>
          <w:tcPr>
            <w:tcW w:w="4115" w:type="dxa"/>
            <w:tcBorders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Assessment:</w:t>
            </w:r>
          </w:p>
        </w:tc>
      </w:tr>
      <w:tr w:rsidR="00544628">
        <w:trPr>
          <w:trHeight w:val="1104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r>
              <w:rPr>
                <w:rFonts w:cstheme="minorHAnsi"/>
              </w:rPr>
              <w:t>Pisni izpit.</w:t>
            </w:r>
          </w:p>
          <w:p w:rsidR="00544628" w:rsidRDefault="001517E1">
            <w:r>
              <w:rPr>
                <w:rFonts w:cstheme="minorHAnsi"/>
              </w:rPr>
              <w:t>Seminarska naloga.</w:t>
            </w:r>
          </w:p>
          <w:p w:rsidR="00544628" w:rsidRDefault="00544628">
            <w:pPr>
              <w:rPr>
                <w:rFonts w:cstheme="minorHAnsi"/>
              </w:rPr>
            </w:pPr>
          </w:p>
          <w:p w:rsidR="00544628" w:rsidRDefault="001517E1">
            <w:r>
              <w:rPr>
                <w:rFonts w:cstheme="minorHAnsi"/>
              </w:rPr>
              <w:t xml:space="preserve">Izpit se oceni z ocenjevalno lestvico od 1 - 10: od 6-10 (pozitivno) oziroma 1-5 (negativno); ob upoštevanju Statuta UL in pravil Pravne fakultete.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80 %</w:t>
            </w: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20 %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</w:tc>
      </w:tr>
      <w:tr w:rsidR="00544628">
        <w:tc>
          <w:tcPr>
            <w:tcW w:w="96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4628" w:rsidRDefault="00544628">
            <w:pPr>
              <w:rPr>
                <w:rFonts w:cstheme="minorHAnsi"/>
                <w:b/>
              </w:rPr>
            </w:pPr>
          </w:p>
          <w:p w:rsidR="00544628" w:rsidRDefault="001517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Reference nosilca / Lecturer's references: </w:t>
            </w:r>
          </w:p>
        </w:tc>
      </w:tr>
      <w:tr w:rsidR="00544628">
        <w:tc>
          <w:tcPr>
            <w:tcW w:w="9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28" w:rsidRDefault="001517E1">
            <w:pPr>
              <w:pStyle w:val="Navadensplet"/>
            </w:pPr>
            <w:r>
              <w:t>izr. prof. dr. Primož Gorkič</w:t>
            </w:r>
          </w:p>
          <w:p w:rsidR="00544628" w:rsidRDefault="001517E1">
            <w:pPr>
              <w:pStyle w:val="Navadensplet"/>
              <w:numPr>
                <w:ilvl w:val="0"/>
                <w:numId w:val="6"/>
              </w:numPr>
            </w:pPr>
            <w:r>
              <w:t>GORKIČ, Primož. Judicial oversight of the (mass) collection and processing of personal data. V: ZAVRŠNIK, Aleš (ur.). Big data, crime and social control, (Routledge frontiers of criminal justice, 50). London [i. e.] Abingdon; New York: Routledge, Taylor &amp; Francis Group. 2018, str. 179-196.</w:t>
            </w:r>
          </w:p>
          <w:p w:rsidR="00544628" w:rsidRDefault="001517E1">
            <w:pPr>
              <w:pStyle w:val="Navadensplet"/>
              <w:numPr>
                <w:ilvl w:val="0"/>
                <w:numId w:val="6"/>
              </w:numPr>
            </w:pPr>
            <w:r>
              <w:t>GORKIČ, Primož. The (f)utility of privacy laws : the case of drones?. V: ZAVRŠNIK, Aleš (ur.). Drones and unmanned aerial systems : legal and social implications for security and surveillance. Cham [etc.]: Springer. cop. 2016, str. 69-81.</w:t>
            </w:r>
          </w:p>
          <w:p w:rsidR="00544628" w:rsidRDefault="001517E1">
            <w:pPr>
              <w:pStyle w:val="Navadensplet"/>
              <w:numPr>
                <w:ilvl w:val="0"/>
                <w:numId w:val="5"/>
              </w:numPr>
            </w:pPr>
            <w:r>
              <w:lastRenderedPageBreak/>
              <w:t>GORKIČ, Primož, ŠUGMAN STUBBS, Katja. Dokazovanje v kazenskem postopku. Ljubljana: GV Založba, 2011.</w:t>
            </w:r>
          </w:p>
          <w:p w:rsidR="00544628" w:rsidRDefault="004E1A27">
            <w:pPr>
              <w:pStyle w:val="Navadensplet"/>
            </w:pPr>
            <w:r>
              <w:t>P</w:t>
            </w:r>
            <w:r w:rsidR="001517E1">
              <w:t>rof. dr. Aleš Završnik</w:t>
            </w:r>
          </w:p>
          <w:p w:rsidR="00544628" w:rsidRDefault="001517E1">
            <w:pPr>
              <w:pStyle w:val="Navadensplet"/>
              <w:numPr>
                <w:ilvl w:val="0"/>
                <w:numId w:val="8"/>
              </w:numPr>
            </w:pPr>
            <w:r>
              <w:t>ZAVRŠNIK, Aleš. Algorithmic justice : algorithms and big data in criminal justice settings. European journal of criminology, ISSN 1741-2609, sep. 2019, str. 1-20</w:t>
            </w:r>
          </w:p>
          <w:p w:rsidR="00544628" w:rsidRDefault="001517E1">
            <w:pPr>
              <w:pStyle w:val="Navadensplet"/>
              <w:numPr>
                <w:ilvl w:val="0"/>
                <w:numId w:val="7"/>
              </w:numPr>
            </w:pPr>
            <w:r>
              <w:t>ZAVRŠNIK, Aleš. Algoritmično nadzorstvo : veliko podatkovje, algoritmi in družbeni nadzor. Revija za kriminalistiko in kriminologijo, ISSN 0034-690X, apr.-jun. 2017, letn. 68, št. 2, str. 135-149.</w:t>
            </w:r>
          </w:p>
          <w:p w:rsidR="00544628" w:rsidRDefault="001517E1">
            <w:pPr>
              <w:pStyle w:val="Navadensplet"/>
              <w:numPr>
                <w:ilvl w:val="0"/>
                <w:numId w:val="7"/>
              </w:numPr>
              <w:spacing w:before="280" w:after="280"/>
            </w:pPr>
            <w:r>
              <w:t>ZAVRŠNIK, Aleš. Kibernetska kriminaliteta. 1. natis. Ljubljana: IUS Software, GV založba: Inštitut za kriminologijo pri Pravni fakulteti, 2015. 157 str.</w:t>
            </w:r>
          </w:p>
        </w:tc>
      </w:tr>
    </w:tbl>
    <w:p w:rsidR="00544628" w:rsidRDefault="00544628"/>
    <w:sectPr w:rsidR="00544628">
      <w:pgSz w:w="11906" w:h="16838"/>
      <w:pgMar w:top="1440" w:right="1800" w:bottom="1440" w:left="18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dine 401 SI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A7F"/>
    <w:multiLevelType w:val="multilevel"/>
    <w:tmpl w:val="CCEC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7E3CD4"/>
    <w:multiLevelType w:val="multilevel"/>
    <w:tmpl w:val="957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A06CD5"/>
    <w:multiLevelType w:val="multilevel"/>
    <w:tmpl w:val="E9CE1A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0F4017"/>
    <w:multiLevelType w:val="multilevel"/>
    <w:tmpl w:val="E9B0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751D63"/>
    <w:multiLevelType w:val="multilevel"/>
    <w:tmpl w:val="0E6E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F22F98"/>
    <w:multiLevelType w:val="multilevel"/>
    <w:tmpl w:val="0E6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9FD799B"/>
    <w:multiLevelType w:val="multilevel"/>
    <w:tmpl w:val="E1B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01C22AF"/>
    <w:multiLevelType w:val="multilevel"/>
    <w:tmpl w:val="7AD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28"/>
    <w:rsid w:val="001517E1"/>
    <w:rsid w:val="004E1A27"/>
    <w:rsid w:val="00544628"/>
    <w:rsid w:val="009B26A4"/>
    <w:rsid w:val="00B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B00F1-250F-4328-A121-207685B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53BD"/>
    <w:rPr>
      <w:rFonts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unhideWhenUsed/>
    <w:rsid w:val="005D7E70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082FFC"/>
    <w:rPr>
      <w:rFonts w:ascii="Calibri" w:eastAsia="Calibri" w:hAnsi="Calibri" w:cs="Times New Roman"/>
      <w:sz w:val="18"/>
      <w:szCs w:val="18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qFormat/>
    <w:rsid w:val="00294B9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semiHidden/>
    <w:qFormat/>
    <w:rsid w:val="00294B9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qFormat/>
    <w:rsid w:val="00530435"/>
    <w:rPr>
      <w:color w:val="605E5C"/>
      <w:shd w:val="clear" w:color="auto" w:fill="E1DFDD"/>
    </w:rPr>
  </w:style>
  <w:style w:type="character" w:customStyle="1" w:styleId="Simbolizaotevilevanje">
    <w:name w:val="Simboli za oštevilčevanje"/>
    <w:qFormat/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link w:val="TelobesedilaZnak"/>
    <w:semiHidden/>
    <w:rsid w:val="00294B9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Times New Roman" w:eastAsia="Times New Roman" w:hAnsi="Times New Roman"/>
      <w:b/>
      <w:szCs w:val="20"/>
    </w:r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styleId="Navadensplet">
    <w:name w:val="Normal (Web)"/>
    <w:basedOn w:val="Navaden"/>
    <w:uiPriority w:val="99"/>
    <w:semiHidden/>
    <w:unhideWhenUsed/>
    <w:qFormat/>
    <w:rsid w:val="005D7E70"/>
    <w:pPr>
      <w:spacing w:beforeAutospacing="1" w:afterAutospacing="1"/>
    </w:pPr>
    <w:rPr>
      <w:rFonts w:ascii="Times New Roman" w:eastAsia="Times New Roman" w:hAnsi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082FFC"/>
    <w:rPr>
      <w:sz w:val="18"/>
      <w:szCs w:val="18"/>
    </w:rPr>
  </w:style>
  <w:style w:type="paragraph" w:customStyle="1" w:styleId="Default">
    <w:name w:val="Default"/>
    <w:qFormat/>
    <w:rsid w:val="003A7F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ibliografija1">
    <w:name w:val="Bibliografija1"/>
    <w:basedOn w:val="Navaden"/>
    <w:qFormat/>
    <w:rsid w:val="00294B98"/>
    <w:pPr>
      <w:keepLines/>
      <w:ind w:left="340" w:hanging="340"/>
    </w:pPr>
    <w:rPr>
      <w:rFonts w:ascii="Aldine 401 SI" w:eastAsia="Times New Roman" w:hAnsi="Aldine 401 SI"/>
      <w:i/>
      <w:sz w:val="20"/>
      <w:szCs w:val="20"/>
    </w:rPr>
  </w:style>
  <w:style w:type="paragraph" w:styleId="Sprotnaopomba-besedilo">
    <w:name w:val="footnote text"/>
    <w:basedOn w:val="Navaden"/>
    <w:semiHidden/>
    <w:rsid w:val="00294B98"/>
    <w:rPr>
      <w:rFonts w:ascii="Times New Roman" w:eastAsia="Times New Roman" w:hAnsi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9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tičar</dc:creator>
  <dc:description/>
  <cp:lastModifiedBy>Marentič, Maja</cp:lastModifiedBy>
  <cp:revision>2</cp:revision>
  <cp:lastPrinted>2016-01-04T13:06:00Z</cp:lastPrinted>
  <dcterms:created xsi:type="dcterms:W3CDTF">2024-05-24T11:01:00Z</dcterms:created>
  <dcterms:modified xsi:type="dcterms:W3CDTF">2024-05-24T11:01:00Z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