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0" w:type="dxa"/>
        <w:tblLayout w:type="fixed"/>
        <w:tblCellMar>
          <w:left w:w="56" w:type="dxa"/>
          <w:right w:w="56" w:type="dxa"/>
        </w:tblCellMar>
        <w:tblLook w:val="00A0" w:firstRow="1" w:lastRow="0" w:firstColumn="1" w:lastColumn="0" w:noHBand="0" w:noVBand="0"/>
      </w:tblPr>
      <w:tblGrid>
        <w:gridCol w:w="1410"/>
        <w:gridCol w:w="231"/>
        <w:gridCol w:w="158"/>
        <w:gridCol w:w="1021"/>
        <w:gridCol w:w="487"/>
        <w:gridCol w:w="575"/>
        <w:gridCol w:w="356"/>
        <w:gridCol w:w="480"/>
        <w:gridCol w:w="10"/>
        <w:gridCol w:w="142"/>
        <w:gridCol w:w="786"/>
        <w:gridCol w:w="62"/>
        <w:gridCol w:w="990"/>
        <w:gridCol w:w="365"/>
        <w:gridCol w:w="1193"/>
        <w:gridCol w:w="224"/>
        <w:gridCol w:w="132"/>
        <w:gridCol w:w="1068"/>
      </w:tblGrid>
      <w:tr w:rsidR="007153BD" w:rsidRPr="005A3092" w14:paraId="075C1719" w14:textId="77777777" w:rsidTr="000A0C6A">
        <w:tc>
          <w:tcPr>
            <w:tcW w:w="9690" w:type="dxa"/>
            <w:gridSpan w:val="18"/>
            <w:tcBorders>
              <w:top w:val="single" w:sz="4" w:space="0" w:color="auto"/>
              <w:left w:val="single" w:sz="4" w:space="0" w:color="auto"/>
              <w:bottom w:val="single" w:sz="4" w:space="0" w:color="auto"/>
              <w:right w:val="single" w:sz="4" w:space="0" w:color="auto"/>
            </w:tcBorders>
            <w:shd w:val="clear" w:color="auto" w:fill="E6E6E6"/>
          </w:tcPr>
          <w:p w14:paraId="28C0CBED" w14:textId="77777777" w:rsidR="007153BD" w:rsidRPr="005A3092" w:rsidRDefault="007153BD" w:rsidP="000A0C6A">
            <w:pPr>
              <w:jc w:val="center"/>
              <w:rPr>
                <w:rFonts w:cs="Calibri"/>
                <w:b/>
                <w:szCs w:val="22"/>
              </w:rPr>
            </w:pPr>
            <w:r w:rsidRPr="005A3092">
              <w:rPr>
                <w:rFonts w:cs="Calibri"/>
                <w:b/>
                <w:szCs w:val="22"/>
              </w:rPr>
              <w:t>UČNI NAČRT PREDMETA / COURSE SYLLABUS</w:t>
            </w:r>
          </w:p>
        </w:tc>
      </w:tr>
      <w:tr w:rsidR="007153BD" w:rsidRPr="005A3092" w14:paraId="0A24DC8D" w14:textId="77777777" w:rsidTr="000A0C6A">
        <w:tc>
          <w:tcPr>
            <w:tcW w:w="1799" w:type="dxa"/>
            <w:gridSpan w:val="3"/>
          </w:tcPr>
          <w:p w14:paraId="72EEBEF2" w14:textId="77777777" w:rsidR="007153BD" w:rsidRPr="005A3092" w:rsidRDefault="007153BD" w:rsidP="000A0C6A">
            <w:pPr>
              <w:rPr>
                <w:rFonts w:cs="Calibri"/>
                <w:b/>
                <w:szCs w:val="22"/>
              </w:rPr>
            </w:pPr>
            <w:r w:rsidRPr="00D83734">
              <w:rPr>
                <w:rFonts w:cs="Calibri"/>
                <w:b/>
                <w:szCs w:val="22"/>
              </w:rPr>
              <w:t>Predmet:</w:t>
            </w:r>
          </w:p>
        </w:tc>
        <w:tc>
          <w:tcPr>
            <w:tcW w:w="7891" w:type="dxa"/>
            <w:gridSpan w:val="15"/>
            <w:tcBorders>
              <w:top w:val="single" w:sz="4" w:space="0" w:color="auto"/>
              <w:left w:val="single" w:sz="4" w:space="0" w:color="auto"/>
              <w:bottom w:val="single" w:sz="4" w:space="0" w:color="auto"/>
              <w:right w:val="single" w:sz="4" w:space="0" w:color="auto"/>
            </w:tcBorders>
          </w:tcPr>
          <w:p w14:paraId="4C2031D7" w14:textId="2F6A90CE" w:rsidR="007153BD" w:rsidRPr="00162B4E" w:rsidRDefault="00DB5C3F" w:rsidP="003A7F10">
            <w:pPr>
              <w:rPr>
                <w:b/>
              </w:rPr>
            </w:pPr>
            <w:bookmarkStart w:id="0" w:name="Predmet"/>
            <w:bookmarkEnd w:id="0"/>
            <w:r>
              <w:rPr>
                <w:b/>
              </w:rPr>
              <w:t>Zasebno</w:t>
            </w:r>
            <w:r w:rsidR="00800BFD">
              <w:rPr>
                <w:b/>
              </w:rPr>
              <w:t>pravni vidiki ureditve interneta</w:t>
            </w:r>
          </w:p>
        </w:tc>
      </w:tr>
      <w:tr w:rsidR="007153BD" w:rsidRPr="005A3092" w14:paraId="06FE9FD8" w14:textId="77777777" w:rsidTr="000A0C6A">
        <w:tc>
          <w:tcPr>
            <w:tcW w:w="1799" w:type="dxa"/>
            <w:gridSpan w:val="3"/>
          </w:tcPr>
          <w:p w14:paraId="432DBFB9" w14:textId="77777777" w:rsidR="007153BD" w:rsidRPr="005A3092" w:rsidRDefault="007153BD" w:rsidP="000A0C6A">
            <w:pPr>
              <w:rPr>
                <w:rFonts w:cs="Calibri"/>
                <w:b/>
                <w:szCs w:val="22"/>
              </w:rPr>
            </w:pPr>
            <w:r w:rsidRPr="005A3092">
              <w:rPr>
                <w:rFonts w:cs="Calibri"/>
                <w:b/>
                <w:szCs w:val="22"/>
              </w:rPr>
              <w:t>Course title:</w:t>
            </w:r>
          </w:p>
        </w:tc>
        <w:tc>
          <w:tcPr>
            <w:tcW w:w="7891" w:type="dxa"/>
            <w:gridSpan w:val="15"/>
            <w:tcBorders>
              <w:top w:val="single" w:sz="4" w:space="0" w:color="auto"/>
              <w:left w:val="single" w:sz="4" w:space="0" w:color="auto"/>
              <w:bottom w:val="single" w:sz="4" w:space="0" w:color="auto"/>
              <w:right w:val="single" w:sz="4" w:space="0" w:color="auto"/>
            </w:tcBorders>
          </w:tcPr>
          <w:p w14:paraId="4D210661" w14:textId="58F53AD8" w:rsidR="007153BD" w:rsidRPr="00495BA0" w:rsidRDefault="00C035E5" w:rsidP="003A7F10">
            <w:pPr>
              <w:rPr>
                <w:rFonts w:cs="Calibri"/>
                <w:szCs w:val="22"/>
              </w:rPr>
            </w:pPr>
            <w:bookmarkStart w:id="1" w:name="APredmet"/>
            <w:bookmarkEnd w:id="1"/>
            <w:r w:rsidRPr="00495BA0">
              <w:rPr>
                <w:rFonts w:cs="Calibri"/>
                <w:szCs w:val="22"/>
              </w:rPr>
              <w:t>Private Law Aspects of Internet Regulation</w:t>
            </w:r>
          </w:p>
        </w:tc>
      </w:tr>
      <w:tr w:rsidR="007153BD" w:rsidRPr="005A3092" w14:paraId="0C6944E0" w14:textId="77777777" w:rsidTr="000A0C6A">
        <w:tc>
          <w:tcPr>
            <w:tcW w:w="3307" w:type="dxa"/>
            <w:gridSpan w:val="5"/>
            <w:vAlign w:val="center"/>
          </w:tcPr>
          <w:p w14:paraId="7146C475" w14:textId="77777777" w:rsidR="007153BD" w:rsidRPr="005A3092" w:rsidRDefault="007153BD" w:rsidP="000A0C6A">
            <w:pPr>
              <w:jc w:val="center"/>
              <w:rPr>
                <w:rFonts w:cs="Calibri"/>
                <w:b/>
                <w:szCs w:val="22"/>
              </w:rPr>
            </w:pPr>
          </w:p>
        </w:tc>
        <w:tc>
          <w:tcPr>
            <w:tcW w:w="3401" w:type="dxa"/>
            <w:gridSpan w:val="8"/>
            <w:vAlign w:val="center"/>
          </w:tcPr>
          <w:p w14:paraId="42EBB60A" w14:textId="77777777" w:rsidR="007153BD" w:rsidRPr="005A3092" w:rsidRDefault="007153BD" w:rsidP="000A0C6A">
            <w:pPr>
              <w:jc w:val="center"/>
              <w:rPr>
                <w:rFonts w:cs="Calibri"/>
                <w:b/>
                <w:szCs w:val="22"/>
              </w:rPr>
            </w:pPr>
          </w:p>
        </w:tc>
        <w:tc>
          <w:tcPr>
            <w:tcW w:w="1558" w:type="dxa"/>
            <w:gridSpan w:val="2"/>
            <w:vAlign w:val="center"/>
          </w:tcPr>
          <w:p w14:paraId="67B36915" w14:textId="77777777" w:rsidR="007153BD" w:rsidRPr="005A3092" w:rsidRDefault="007153BD" w:rsidP="000A0C6A">
            <w:pPr>
              <w:jc w:val="center"/>
              <w:rPr>
                <w:rFonts w:cs="Calibri"/>
                <w:b/>
                <w:szCs w:val="22"/>
              </w:rPr>
            </w:pPr>
          </w:p>
        </w:tc>
        <w:tc>
          <w:tcPr>
            <w:tcW w:w="1424" w:type="dxa"/>
            <w:gridSpan w:val="3"/>
            <w:vAlign w:val="center"/>
          </w:tcPr>
          <w:p w14:paraId="68D34775" w14:textId="77777777" w:rsidR="007153BD" w:rsidRPr="005A3092" w:rsidRDefault="007153BD" w:rsidP="000A0C6A">
            <w:pPr>
              <w:jc w:val="center"/>
              <w:rPr>
                <w:rFonts w:cs="Calibri"/>
                <w:b/>
                <w:szCs w:val="22"/>
              </w:rPr>
            </w:pPr>
          </w:p>
        </w:tc>
      </w:tr>
      <w:tr w:rsidR="007153BD" w:rsidRPr="005A3092" w14:paraId="38CC45AA" w14:textId="77777777" w:rsidTr="009854B1">
        <w:tc>
          <w:tcPr>
            <w:tcW w:w="3307" w:type="dxa"/>
            <w:gridSpan w:val="5"/>
            <w:tcBorders>
              <w:top w:val="nil"/>
              <w:left w:val="nil"/>
              <w:bottom w:val="single" w:sz="4" w:space="0" w:color="auto"/>
              <w:right w:val="nil"/>
            </w:tcBorders>
            <w:vAlign w:val="center"/>
          </w:tcPr>
          <w:p w14:paraId="3D83F208" w14:textId="77777777" w:rsidR="007153BD" w:rsidRPr="005A3092" w:rsidRDefault="007153BD" w:rsidP="000A0C6A">
            <w:pPr>
              <w:jc w:val="center"/>
              <w:rPr>
                <w:rFonts w:cs="Calibri"/>
                <w:b/>
                <w:szCs w:val="22"/>
              </w:rPr>
            </w:pPr>
            <w:r w:rsidRPr="005A3092">
              <w:rPr>
                <w:rFonts w:cs="Calibri"/>
                <w:b/>
                <w:szCs w:val="22"/>
              </w:rPr>
              <w:t>Študijski program in stopnja</w:t>
            </w:r>
          </w:p>
          <w:p w14:paraId="09E900A4" w14:textId="77777777" w:rsidR="007153BD" w:rsidRPr="005A3092" w:rsidRDefault="007153BD" w:rsidP="000A0C6A">
            <w:pPr>
              <w:jc w:val="center"/>
              <w:rPr>
                <w:rFonts w:cs="Calibri"/>
                <w:szCs w:val="22"/>
              </w:rPr>
            </w:pPr>
            <w:r w:rsidRPr="005A3092">
              <w:rPr>
                <w:rFonts w:cs="Calibri"/>
                <w:b/>
                <w:szCs w:val="22"/>
              </w:rPr>
              <w:t>Study programme and level</w:t>
            </w:r>
          </w:p>
        </w:tc>
        <w:tc>
          <w:tcPr>
            <w:tcW w:w="3401" w:type="dxa"/>
            <w:gridSpan w:val="8"/>
            <w:tcBorders>
              <w:top w:val="nil"/>
              <w:left w:val="nil"/>
              <w:bottom w:val="single" w:sz="4" w:space="0" w:color="auto"/>
              <w:right w:val="nil"/>
            </w:tcBorders>
            <w:vAlign w:val="center"/>
          </w:tcPr>
          <w:p w14:paraId="4ACA3DFD" w14:textId="77777777" w:rsidR="007153BD" w:rsidRPr="005A3092" w:rsidRDefault="007153BD" w:rsidP="000A0C6A">
            <w:pPr>
              <w:jc w:val="center"/>
              <w:rPr>
                <w:rFonts w:cs="Calibri"/>
                <w:b/>
                <w:szCs w:val="22"/>
              </w:rPr>
            </w:pPr>
            <w:r w:rsidRPr="005A3092">
              <w:rPr>
                <w:rFonts w:cs="Calibri"/>
                <w:b/>
                <w:szCs w:val="22"/>
              </w:rPr>
              <w:t>Študijska smer</w:t>
            </w:r>
          </w:p>
          <w:p w14:paraId="4BB8E568" w14:textId="77777777" w:rsidR="007153BD" w:rsidRPr="005A3092" w:rsidRDefault="007153BD" w:rsidP="000A0C6A">
            <w:pPr>
              <w:jc w:val="center"/>
              <w:rPr>
                <w:rFonts w:cs="Calibri"/>
                <w:b/>
                <w:szCs w:val="22"/>
              </w:rPr>
            </w:pPr>
            <w:r w:rsidRPr="005A3092">
              <w:rPr>
                <w:rFonts w:cs="Calibri"/>
                <w:b/>
                <w:szCs w:val="22"/>
              </w:rPr>
              <w:t>Study field</w:t>
            </w:r>
          </w:p>
        </w:tc>
        <w:tc>
          <w:tcPr>
            <w:tcW w:w="1558" w:type="dxa"/>
            <w:gridSpan w:val="2"/>
            <w:tcBorders>
              <w:top w:val="nil"/>
              <w:left w:val="nil"/>
              <w:bottom w:val="single" w:sz="4" w:space="0" w:color="auto"/>
              <w:right w:val="nil"/>
            </w:tcBorders>
            <w:shd w:val="clear" w:color="auto" w:fill="auto"/>
            <w:vAlign w:val="center"/>
          </w:tcPr>
          <w:p w14:paraId="0F45A019" w14:textId="77777777" w:rsidR="007153BD" w:rsidRPr="009854B1" w:rsidRDefault="007153BD" w:rsidP="000A0C6A">
            <w:pPr>
              <w:jc w:val="center"/>
              <w:rPr>
                <w:rFonts w:cs="Calibri"/>
                <w:b/>
                <w:szCs w:val="22"/>
              </w:rPr>
            </w:pPr>
            <w:r w:rsidRPr="009854B1">
              <w:rPr>
                <w:rFonts w:cs="Calibri"/>
                <w:b/>
                <w:szCs w:val="22"/>
              </w:rPr>
              <w:t>Letnik</w:t>
            </w:r>
          </w:p>
          <w:p w14:paraId="7D1BA656" w14:textId="77777777" w:rsidR="007153BD" w:rsidRPr="009854B1" w:rsidRDefault="007153BD" w:rsidP="000A0C6A">
            <w:pPr>
              <w:jc w:val="center"/>
              <w:rPr>
                <w:rFonts w:cs="Calibri"/>
                <w:b/>
                <w:szCs w:val="22"/>
              </w:rPr>
            </w:pPr>
            <w:r w:rsidRPr="009854B1">
              <w:rPr>
                <w:rFonts w:cs="Calibri"/>
                <w:b/>
                <w:szCs w:val="22"/>
              </w:rPr>
              <w:t>Academic year</w:t>
            </w:r>
          </w:p>
        </w:tc>
        <w:tc>
          <w:tcPr>
            <w:tcW w:w="1424" w:type="dxa"/>
            <w:gridSpan w:val="3"/>
            <w:tcBorders>
              <w:top w:val="nil"/>
              <w:left w:val="nil"/>
              <w:bottom w:val="single" w:sz="4" w:space="0" w:color="auto"/>
              <w:right w:val="nil"/>
            </w:tcBorders>
            <w:shd w:val="clear" w:color="auto" w:fill="auto"/>
            <w:vAlign w:val="center"/>
          </w:tcPr>
          <w:p w14:paraId="28C9277B" w14:textId="77777777" w:rsidR="007153BD" w:rsidRPr="009854B1" w:rsidRDefault="007153BD" w:rsidP="000A0C6A">
            <w:pPr>
              <w:jc w:val="center"/>
              <w:rPr>
                <w:rFonts w:cs="Calibri"/>
                <w:b/>
                <w:szCs w:val="22"/>
              </w:rPr>
            </w:pPr>
            <w:r w:rsidRPr="009854B1">
              <w:rPr>
                <w:rFonts w:cs="Calibri"/>
                <w:b/>
                <w:szCs w:val="22"/>
              </w:rPr>
              <w:t>Semester</w:t>
            </w:r>
          </w:p>
          <w:p w14:paraId="47FC6570" w14:textId="77777777" w:rsidR="007153BD" w:rsidRPr="009854B1" w:rsidRDefault="007153BD" w:rsidP="000A0C6A">
            <w:pPr>
              <w:jc w:val="center"/>
              <w:rPr>
                <w:rFonts w:cs="Calibri"/>
                <w:b/>
                <w:szCs w:val="22"/>
              </w:rPr>
            </w:pPr>
            <w:r w:rsidRPr="009854B1">
              <w:rPr>
                <w:rFonts w:cs="Calibri"/>
                <w:b/>
                <w:szCs w:val="22"/>
              </w:rPr>
              <w:t>Semester</w:t>
            </w:r>
          </w:p>
        </w:tc>
      </w:tr>
      <w:tr w:rsidR="007153BD" w:rsidRPr="005A3092" w14:paraId="3AB8134B" w14:textId="77777777" w:rsidTr="009854B1">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14:paraId="224C9813" w14:textId="77777777" w:rsidR="007153BD" w:rsidRDefault="00CC71D2" w:rsidP="000A0C6A">
            <w:pPr>
              <w:jc w:val="center"/>
              <w:rPr>
                <w:rFonts w:cs="Calibri"/>
                <w:b/>
                <w:bCs/>
                <w:szCs w:val="22"/>
              </w:rPr>
            </w:pPr>
            <w:r>
              <w:rPr>
                <w:rFonts w:cs="Calibri"/>
                <w:b/>
                <w:bCs/>
                <w:szCs w:val="22"/>
              </w:rPr>
              <w:t>Prvostopenjski UN študij</w:t>
            </w:r>
          </w:p>
          <w:p w14:paraId="0F996BA5" w14:textId="2D2C31AB" w:rsidR="00CC71D2" w:rsidRPr="005A3092" w:rsidRDefault="00CC71D2" w:rsidP="000A0C6A">
            <w:pPr>
              <w:jc w:val="center"/>
              <w:rPr>
                <w:rFonts w:cs="Calibri"/>
                <w:b/>
                <w:bCs/>
                <w:szCs w:val="22"/>
              </w:rPr>
            </w:pPr>
            <w:r>
              <w:rPr>
                <w:rFonts w:cs="Calibri"/>
                <w:b/>
                <w:bCs/>
                <w:szCs w:val="22"/>
              </w:rPr>
              <w:t>Program Pravo</w:t>
            </w:r>
          </w:p>
        </w:tc>
        <w:tc>
          <w:tcPr>
            <w:tcW w:w="3401" w:type="dxa"/>
            <w:gridSpan w:val="8"/>
            <w:tcBorders>
              <w:top w:val="single" w:sz="4" w:space="0" w:color="auto"/>
              <w:left w:val="single" w:sz="4" w:space="0" w:color="auto"/>
              <w:bottom w:val="single" w:sz="4" w:space="0" w:color="auto"/>
              <w:right w:val="single" w:sz="4" w:space="0" w:color="auto"/>
            </w:tcBorders>
            <w:vAlign w:val="center"/>
          </w:tcPr>
          <w:p w14:paraId="0BC3471A" w14:textId="137A3761" w:rsidR="007153BD" w:rsidRPr="005A3092" w:rsidRDefault="007153BD" w:rsidP="000A0C6A">
            <w:pPr>
              <w:jc w:val="center"/>
              <w:rPr>
                <w:rFonts w:cs="Calibri"/>
                <w:b/>
                <w:bCs/>
                <w:szCs w:val="22"/>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B5FB9" w14:textId="23B44BA6" w:rsidR="007153BD" w:rsidRPr="009854B1" w:rsidRDefault="00CC71D2" w:rsidP="000A0C6A">
            <w:pPr>
              <w:jc w:val="center"/>
              <w:rPr>
                <w:rFonts w:cs="Calibri"/>
                <w:b/>
                <w:bCs/>
                <w:szCs w:val="22"/>
              </w:rPr>
            </w:pPr>
            <w:r w:rsidRPr="009854B1">
              <w:rPr>
                <w:rFonts w:cs="Calibri"/>
                <w:b/>
                <w:bCs/>
                <w:szCs w:val="22"/>
              </w:rPr>
              <w:t>3,4</w:t>
            </w: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E42DA6" w14:textId="2A3116BE" w:rsidR="007153BD" w:rsidRPr="009854B1" w:rsidRDefault="008C6F91" w:rsidP="008C6F91">
            <w:pPr>
              <w:jc w:val="center"/>
              <w:rPr>
                <w:rFonts w:cs="Calibri"/>
                <w:b/>
                <w:bCs/>
                <w:szCs w:val="22"/>
              </w:rPr>
            </w:pPr>
            <w:r>
              <w:rPr>
                <w:rFonts w:cs="Calibri"/>
                <w:b/>
                <w:bCs/>
                <w:szCs w:val="22"/>
              </w:rPr>
              <w:t>peti</w:t>
            </w:r>
            <w:r w:rsidR="00631D13" w:rsidRPr="00631D13">
              <w:rPr>
                <w:rFonts w:cs="Calibri"/>
                <w:b/>
                <w:bCs/>
                <w:szCs w:val="22"/>
              </w:rPr>
              <w:t xml:space="preserve"> in </w:t>
            </w:r>
            <w:r>
              <w:rPr>
                <w:rFonts w:cs="Calibri"/>
                <w:b/>
                <w:bCs/>
                <w:szCs w:val="22"/>
              </w:rPr>
              <w:t>sedmi</w:t>
            </w:r>
            <w:bookmarkStart w:id="2" w:name="_GoBack"/>
            <w:bookmarkEnd w:id="2"/>
          </w:p>
        </w:tc>
      </w:tr>
      <w:tr w:rsidR="007153BD" w:rsidRPr="005A3092" w14:paraId="60C76012" w14:textId="77777777" w:rsidTr="009854B1">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14:paraId="42C903DB" w14:textId="77777777" w:rsidR="007153BD" w:rsidRPr="005A3092" w:rsidRDefault="007153BD" w:rsidP="000A0C6A">
            <w:pPr>
              <w:jc w:val="center"/>
              <w:rPr>
                <w:rFonts w:cs="Calibri"/>
                <w:b/>
                <w:bCs/>
                <w:szCs w:val="22"/>
              </w:rPr>
            </w:pPr>
          </w:p>
        </w:tc>
        <w:tc>
          <w:tcPr>
            <w:tcW w:w="3401" w:type="dxa"/>
            <w:gridSpan w:val="8"/>
            <w:tcBorders>
              <w:top w:val="single" w:sz="4" w:space="0" w:color="auto"/>
              <w:left w:val="single" w:sz="4" w:space="0" w:color="auto"/>
              <w:bottom w:val="single" w:sz="4" w:space="0" w:color="auto"/>
              <w:right w:val="single" w:sz="4" w:space="0" w:color="auto"/>
            </w:tcBorders>
            <w:vAlign w:val="center"/>
          </w:tcPr>
          <w:p w14:paraId="34A5B9B5" w14:textId="77777777" w:rsidR="007153BD" w:rsidRPr="005A3092" w:rsidRDefault="007153BD" w:rsidP="000A0C6A">
            <w:pPr>
              <w:jc w:val="center"/>
              <w:rPr>
                <w:rFonts w:cs="Calibri"/>
                <w:b/>
                <w:bCs/>
                <w:szCs w:val="22"/>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223BA" w14:textId="77777777" w:rsidR="007153BD" w:rsidRPr="009854B1" w:rsidRDefault="007153BD" w:rsidP="000A0C6A">
            <w:pPr>
              <w:jc w:val="center"/>
              <w:rPr>
                <w:rFonts w:cs="Calibri"/>
                <w:b/>
                <w:bCs/>
                <w:szCs w:val="22"/>
              </w:rPr>
            </w:pPr>
          </w:p>
        </w:tc>
        <w:tc>
          <w:tcPr>
            <w:tcW w:w="14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181A5" w14:textId="77777777" w:rsidR="007153BD" w:rsidRPr="009854B1" w:rsidRDefault="007153BD" w:rsidP="000A0C6A">
            <w:pPr>
              <w:jc w:val="center"/>
              <w:rPr>
                <w:rFonts w:cs="Calibri"/>
                <w:b/>
                <w:bCs/>
                <w:szCs w:val="22"/>
              </w:rPr>
            </w:pPr>
          </w:p>
        </w:tc>
      </w:tr>
      <w:tr w:rsidR="007153BD" w:rsidRPr="005A3092" w14:paraId="0E91844A" w14:textId="77777777" w:rsidTr="009854B1">
        <w:trPr>
          <w:trHeight w:val="103"/>
        </w:trPr>
        <w:tc>
          <w:tcPr>
            <w:tcW w:w="9690" w:type="dxa"/>
            <w:gridSpan w:val="18"/>
            <w:shd w:val="clear" w:color="auto" w:fill="auto"/>
          </w:tcPr>
          <w:p w14:paraId="5BBD772B" w14:textId="77777777" w:rsidR="007153BD" w:rsidRPr="009854B1" w:rsidRDefault="007153BD" w:rsidP="000A0C6A">
            <w:pPr>
              <w:rPr>
                <w:rFonts w:cs="Calibri"/>
                <w:b/>
                <w:bCs/>
                <w:szCs w:val="22"/>
              </w:rPr>
            </w:pPr>
          </w:p>
        </w:tc>
      </w:tr>
      <w:tr w:rsidR="007153BD" w:rsidRPr="005A3092" w14:paraId="4BADF606" w14:textId="77777777" w:rsidTr="009854B1">
        <w:tc>
          <w:tcPr>
            <w:tcW w:w="5718" w:type="dxa"/>
            <w:gridSpan w:val="12"/>
            <w:tcBorders>
              <w:top w:val="nil"/>
              <w:left w:val="nil"/>
              <w:bottom w:val="nil"/>
              <w:right w:val="single" w:sz="4" w:space="0" w:color="auto"/>
            </w:tcBorders>
          </w:tcPr>
          <w:p w14:paraId="7F8CD249" w14:textId="77777777" w:rsidR="007153BD" w:rsidRPr="005A3092" w:rsidRDefault="007153BD" w:rsidP="000A0C6A">
            <w:pPr>
              <w:rPr>
                <w:rFonts w:cs="Calibri"/>
                <w:b/>
                <w:szCs w:val="22"/>
              </w:rPr>
            </w:pPr>
            <w:r w:rsidRPr="00D83734">
              <w:rPr>
                <w:rFonts w:cs="Calibri"/>
                <w:b/>
                <w:szCs w:val="22"/>
              </w:rPr>
              <w:t>Vrsta predmeta</w:t>
            </w:r>
            <w:r w:rsidRPr="005A3092">
              <w:rPr>
                <w:rFonts w:cs="Calibri"/>
                <w:b/>
                <w:szCs w:val="22"/>
              </w:rPr>
              <w:t xml:space="preserve"> / Course type</w:t>
            </w:r>
          </w:p>
        </w:tc>
        <w:tc>
          <w:tcPr>
            <w:tcW w:w="3972" w:type="dxa"/>
            <w:gridSpan w:val="6"/>
            <w:tcBorders>
              <w:top w:val="single" w:sz="4" w:space="0" w:color="auto"/>
              <w:left w:val="single" w:sz="4" w:space="0" w:color="auto"/>
              <w:bottom w:val="single" w:sz="4" w:space="0" w:color="auto"/>
              <w:right w:val="single" w:sz="4" w:space="0" w:color="auto"/>
            </w:tcBorders>
            <w:shd w:val="clear" w:color="auto" w:fill="auto"/>
          </w:tcPr>
          <w:p w14:paraId="586C3EB1" w14:textId="71733DF3" w:rsidR="00C136CE" w:rsidRPr="009854B1" w:rsidRDefault="00CC71D2" w:rsidP="000A0C6A">
            <w:pPr>
              <w:rPr>
                <w:rFonts w:cs="Calibri"/>
                <w:szCs w:val="22"/>
              </w:rPr>
            </w:pPr>
            <w:r w:rsidRPr="009854B1">
              <w:rPr>
                <w:rFonts w:cs="Calibri"/>
                <w:szCs w:val="22"/>
              </w:rPr>
              <w:t>Izbirni</w:t>
            </w:r>
          </w:p>
        </w:tc>
      </w:tr>
      <w:tr w:rsidR="007153BD" w:rsidRPr="005A3092" w14:paraId="473D455D" w14:textId="77777777" w:rsidTr="009854B1">
        <w:tc>
          <w:tcPr>
            <w:tcW w:w="5718" w:type="dxa"/>
            <w:gridSpan w:val="12"/>
          </w:tcPr>
          <w:p w14:paraId="6BC42955" w14:textId="77777777" w:rsidR="007153BD" w:rsidRPr="005A3092" w:rsidRDefault="007153BD" w:rsidP="000A0C6A">
            <w:pPr>
              <w:rPr>
                <w:rFonts w:cs="Calibri"/>
                <w:b/>
                <w:szCs w:val="22"/>
              </w:rPr>
            </w:pPr>
          </w:p>
        </w:tc>
        <w:tc>
          <w:tcPr>
            <w:tcW w:w="3972" w:type="dxa"/>
            <w:gridSpan w:val="6"/>
            <w:tcBorders>
              <w:top w:val="single" w:sz="4" w:space="0" w:color="auto"/>
              <w:left w:val="nil"/>
              <w:bottom w:val="single" w:sz="4" w:space="0" w:color="auto"/>
              <w:right w:val="nil"/>
            </w:tcBorders>
            <w:shd w:val="clear" w:color="auto" w:fill="auto"/>
          </w:tcPr>
          <w:p w14:paraId="5F7283F5" w14:textId="77777777" w:rsidR="007153BD" w:rsidRPr="009854B1" w:rsidRDefault="007153BD" w:rsidP="000A0C6A">
            <w:pPr>
              <w:rPr>
                <w:rFonts w:cs="Calibri"/>
                <w:szCs w:val="22"/>
              </w:rPr>
            </w:pPr>
          </w:p>
        </w:tc>
      </w:tr>
      <w:tr w:rsidR="007153BD" w:rsidRPr="005A3092" w14:paraId="0BFB32B6" w14:textId="77777777" w:rsidTr="009854B1">
        <w:tc>
          <w:tcPr>
            <w:tcW w:w="5718" w:type="dxa"/>
            <w:gridSpan w:val="12"/>
            <w:tcBorders>
              <w:top w:val="nil"/>
              <w:left w:val="nil"/>
              <w:bottom w:val="nil"/>
              <w:right w:val="single" w:sz="4" w:space="0" w:color="auto"/>
            </w:tcBorders>
          </w:tcPr>
          <w:p w14:paraId="149AE830" w14:textId="77777777" w:rsidR="007153BD" w:rsidRPr="005A3092" w:rsidRDefault="007153BD" w:rsidP="000A0C6A">
            <w:pPr>
              <w:rPr>
                <w:rFonts w:cs="Calibri"/>
                <w:b/>
                <w:szCs w:val="22"/>
              </w:rPr>
            </w:pPr>
            <w:r w:rsidRPr="005A3092">
              <w:rPr>
                <w:rFonts w:cs="Calibri"/>
                <w:b/>
                <w:szCs w:val="22"/>
              </w:rPr>
              <w:t>Univerzitetna koda predmeta / University course code:</w:t>
            </w:r>
          </w:p>
        </w:tc>
        <w:tc>
          <w:tcPr>
            <w:tcW w:w="3972" w:type="dxa"/>
            <w:gridSpan w:val="6"/>
            <w:tcBorders>
              <w:top w:val="single" w:sz="4" w:space="0" w:color="auto"/>
              <w:left w:val="single" w:sz="4" w:space="0" w:color="auto"/>
              <w:bottom w:val="single" w:sz="4" w:space="0" w:color="auto"/>
              <w:right w:val="single" w:sz="4" w:space="0" w:color="auto"/>
            </w:tcBorders>
            <w:shd w:val="clear" w:color="auto" w:fill="auto"/>
          </w:tcPr>
          <w:p w14:paraId="15CA4664" w14:textId="77777777" w:rsidR="007153BD" w:rsidRPr="009854B1" w:rsidRDefault="007153BD" w:rsidP="000A0C6A">
            <w:pPr>
              <w:rPr>
                <w:rFonts w:cs="Calibri"/>
                <w:szCs w:val="22"/>
              </w:rPr>
            </w:pPr>
          </w:p>
        </w:tc>
      </w:tr>
      <w:tr w:rsidR="007153BD" w:rsidRPr="005A3092" w14:paraId="146F711D" w14:textId="77777777" w:rsidTr="009854B1">
        <w:tc>
          <w:tcPr>
            <w:tcW w:w="9690" w:type="dxa"/>
            <w:gridSpan w:val="18"/>
            <w:shd w:val="clear" w:color="auto" w:fill="auto"/>
          </w:tcPr>
          <w:p w14:paraId="3ED5356D" w14:textId="77777777" w:rsidR="007153BD" w:rsidRPr="009854B1" w:rsidRDefault="007153BD" w:rsidP="000A0C6A">
            <w:pPr>
              <w:rPr>
                <w:rFonts w:cs="Calibri"/>
                <w:szCs w:val="22"/>
              </w:rPr>
            </w:pPr>
          </w:p>
        </w:tc>
      </w:tr>
      <w:tr w:rsidR="007153BD" w:rsidRPr="005A3092" w14:paraId="57F0D61A" w14:textId="77777777" w:rsidTr="009854B1">
        <w:tc>
          <w:tcPr>
            <w:tcW w:w="1410" w:type="dxa"/>
            <w:tcBorders>
              <w:top w:val="nil"/>
              <w:left w:val="nil"/>
              <w:bottom w:val="single" w:sz="4" w:space="0" w:color="auto"/>
              <w:right w:val="nil"/>
            </w:tcBorders>
            <w:vAlign w:val="center"/>
          </w:tcPr>
          <w:p w14:paraId="12532933" w14:textId="77777777" w:rsidR="007153BD" w:rsidRPr="005A3092" w:rsidRDefault="007153BD" w:rsidP="000A0C6A">
            <w:pPr>
              <w:jc w:val="center"/>
              <w:rPr>
                <w:rFonts w:cs="Calibri"/>
                <w:b/>
                <w:szCs w:val="22"/>
              </w:rPr>
            </w:pPr>
            <w:r w:rsidRPr="005A3092">
              <w:rPr>
                <w:rFonts w:cs="Calibri"/>
                <w:b/>
                <w:szCs w:val="22"/>
              </w:rPr>
              <w:t>Predavanja</w:t>
            </w:r>
          </w:p>
          <w:p w14:paraId="1B603DD4" w14:textId="77777777" w:rsidR="007153BD" w:rsidRPr="005A3092" w:rsidRDefault="007153BD" w:rsidP="000A0C6A">
            <w:pPr>
              <w:jc w:val="center"/>
              <w:rPr>
                <w:rFonts w:cs="Calibri"/>
                <w:szCs w:val="22"/>
              </w:rPr>
            </w:pPr>
            <w:r w:rsidRPr="005A3092">
              <w:rPr>
                <w:rFonts w:cs="Calibri"/>
                <w:b/>
                <w:szCs w:val="22"/>
              </w:rPr>
              <w:t>Lectures</w:t>
            </w:r>
          </w:p>
        </w:tc>
        <w:tc>
          <w:tcPr>
            <w:tcW w:w="1410" w:type="dxa"/>
            <w:gridSpan w:val="3"/>
            <w:tcBorders>
              <w:top w:val="nil"/>
              <w:left w:val="nil"/>
              <w:bottom w:val="single" w:sz="4" w:space="0" w:color="auto"/>
              <w:right w:val="nil"/>
            </w:tcBorders>
            <w:vAlign w:val="center"/>
          </w:tcPr>
          <w:p w14:paraId="5630BF9D" w14:textId="77777777" w:rsidR="007153BD" w:rsidRPr="005A3092" w:rsidRDefault="007153BD" w:rsidP="000A0C6A">
            <w:pPr>
              <w:jc w:val="center"/>
              <w:rPr>
                <w:rFonts w:cs="Calibri"/>
                <w:b/>
                <w:szCs w:val="22"/>
              </w:rPr>
            </w:pPr>
            <w:r w:rsidRPr="005A3092">
              <w:rPr>
                <w:rFonts w:cs="Calibri"/>
                <w:b/>
                <w:szCs w:val="22"/>
              </w:rPr>
              <w:t>Seminar</w:t>
            </w:r>
          </w:p>
          <w:p w14:paraId="2733BC75" w14:textId="77777777" w:rsidR="007153BD" w:rsidRPr="005A3092" w:rsidRDefault="007153BD" w:rsidP="000A0C6A">
            <w:pPr>
              <w:jc w:val="center"/>
              <w:rPr>
                <w:rFonts w:cs="Calibri"/>
                <w:b/>
                <w:szCs w:val="22"/>
              </w:rPr>
            </w:pPr>
            <w:r w:rsidRPr="005A3092">
              <w:rPr>
                <w:rFonts w:cs="Calibri"/>
                <w:b/>
                <w:szCs w:val="22"/>
              </w:rPr>
              <w:t>Seminar</w:t>
            </w:r>
          </w:p>
        </w:tc>
        <w:tc>
          <w:tcPr>
            <w:tcW w:w="1418" w:type="dxa"/>
            <w:gridSpan w:val="3"/>
            <w:tcBorders>
              <w:top w:val="nil"/>
              <w:left w:val="nil"/>
              <w:bottom w:val="single" w:sz="4" w:space="0" w:color="auto"/>
              <w:right w:val="nil"/>
            </w:tcBorders>
            <w:vAlign w:val="center"/>
          </w:tcPr>
          <w:p w14:paraId="06D1A6DB" w14:textId="77777777" w:rsidR="007153BD" w:rsidRPr="005A3092" w:rsidRDefault="007153BD" w:rsidP="000A0C6A">
            <w:pPr>
              <w:jc w:val="center"/>
              <w:rPr>
                <w:rFonts w:cs="Calibri"/>
                <w:b/>
                <w:szCs w:val="22"/>
              </w:rPr>
            </w:pPr>
            <w:r>
              <w:rPr>
                <w:rFonts w:cs="Calibri"/>
                <w:b/>
                <w:szCs w:val="22"/>
              </w:rPr>
              <w:t>V</w:t>
            </w:r>
            <w:r w:rsidRPr="005A3092">
              <w:rPr>
                <w:rFonts w:cs="Calibri"/>
                <w:b/>
                <w:szCs w:val="22"/>
              </w:rPr>
              <w:t>aje</w:t>
            </w:r>
          </w:p>
          <w:p w14:paraId="33FAC493" w14:textId="77777777" w:rsidR="007153BD" w:rsidRPr="005A3092" w:rsidRDefault="007153BD" w:rsidP="000A0C6A">
            <w:pPr>
              <w:jc w:val="center"/>
              <w:rPr>
                <w:rFonts w:cs="Calibri"/>
                <w:b/>
                <w:szCs w:val="22"/>
              </w:rPr>
            </w:pPr>
            <w:r w:rsidRPr="005A3092">
              <w:rPr>
                <w:rFonts w:cs="Calibri"/>
                <w:b/>
                <w:szCs w:val="22"/>
              </w:rPr>
              <w:t>Tutorial</w:t>
            </w:r>
          </w:p>
        </w:tc>
        <w:tc>
          <w:tcPr>
            <w:tcW w:w="1418" w:type="dxa"/>
            <w:gridSpan w:val="4"/>
            <w:tcBorders>
              <w:top w:val="nil"/>
              <w:left w:val="nil"/>
              <w:bottom w:val="single" w:sz="4" w:space="0" w:color="auto"/>
              <w:right w:val="nil"/>
            </w:tcBorders>
            <w:vAlign w:val="center"/>
          </w:tcPr>
          <w:p w14:paraId="36540AE7" w14:textId="77777777" w:rsidR="007153BD" w:rsidRPr="005A3092" w:rsidRDefault="007153BD" w:rsidP="000A0C6A">
            <w:pPr>
              <w:jc w:val="center"/>
              <w:rPr>
                <w:rFonts w:cs="Calibri"/>
                <w:b/>
                <w:szCs w:val="22"/>
              </w:rPr>
            </w:pPr>
            <w:r>
              <w:rPr>
                <w:rFonts w:cs="Calibri"/>
                <w:b/>
                <w:szCs w:val="22"/>
              </w:rPr>
              <w:t>Klinične</w:t>
            </w:r>
            <w:r w:rsidRPr="005A3092">
              <w:rPr>
                <w:rFonts w:cs="Calibri"/>
                <w:b/>
                <w:szCs w:val="22"/>
              </w:rPr>
              <w:t xml:space="preserve"> vaje</w:t>
            </w:r>
          </w:p>
          <w:p w14:paraId="51330F0B" w14:textId="77777777" w:rsidR="007153BD" w:rsidRPr="005A3092" w:rsidRDefault="007153BD" w:rsidP="000A0C6A">
            <w:pPr>
              <w:jc w:val="center"/>
              <w:rPr>
                <w:rFonts w:cs="Calibri"/>
                <w:b/>
                <w:szCs w:val="22"/>
              </w:rPr>
            </w:pPr>
            <w:r w:rsidRPr="005A3092">
              <w:rPr>
                <w:rFonts w:cs="Calibri"/>
                <w:b/>
                <w:szCs w:val="22"/>
              </w:rPr>
              <w:t>work</w:t>
            </w:r>
          </w:p>
        </w:tc>
        <w:tc>
          <w:tcPr>
            <w:tcW w:w="1417" w:type="dxa"/>
            <w:gridSpan w:val="3"/>
            <w:tcBorders>
              <w:top w:val="nil"/>
              <w:left w:val="nil"/>
              <w:bottom w:val="single" w:sz="4" w:space="0" w:color="auto"/>
              <w:right w:val="nil"/>
            </w:tcBorders>
            <w:shd w:val="clear" w:color="auto" w:fill="auto"/>
            <w:vAlign w:val="center"/>
          </w:tcPr>
          <w:p w14:paraId="2ED4EBA5" w14:textId="77777777" w:rsidR="007153BD" w:rsidRPr="009854B1" w:rsidRDefault="007153BD" w:rsidP="000A0C6A">
            <w:pPr>
              <w:jc w:val="center"/>
              <w:rPr>
                <w:rFonts w:cs="Calibri"/>
                <w:b/>
                <w:szCs w:val="22"/>
              </w:rPr>
            </w:pPr>
            <w:r w:rsidRPr="009854B1">
              <w:rPr>
                <w:rFonts w:cs="Calibri"/>
                <w:b/>
                <w:szCs w:val="22"/>
              </w:rPr>
              <w:t>Druge oblike študija</w:t>
            </w:r>
          </w:p>
        </w:tc>
        <w:tc>
          <w:tcPr>
            <w:tcW w:w="1417" w:type="dxa"/>
            <w:gridSpan w:val="2"/>
            <w:tcBorders>
              <w:top w:val="nil"/>
              <w:left w:val="nil"/>
              <w:bottom w:val="single" w:sz="4" w:space="0" w:color="auto"/>
              <w:right w:val="nil"/>
            </w:tcBorders>
            <w:shd w:val="clear" w:color="auto" w:fill="auto"/>
            <w:vAlign w:val="center"/>
          </w:tcPr>
          <w:p w14:paraId="3960D9D4" w14:textId="77777777" w:rsidR="007153BD" w:rsidRPr="009854B1" w:rsidRDefault="007153BD" w:rsidP="000A0C6A">
            <w:pPr>
              <w:jc w:val="center"/>
              <w:rPr>
                <w:rFonts w:cs="Calibri"/>
                <w:b/>
                <w:szCs w:val="22"/>
              </w:rPr>
            </w:pPr>
            <w:r w:rsidRPr="009854B1">
              <w:rPr>
                <w:rFonts w:cs="Calibri"/>
                <w:b/>
                <w:szCs w:val="22"/>
              </w:rPr>
              <w:t>Samost. delo</w:t>
            </w:r>
          </w:p>
          <w:p w14:paraId="53917F65" w14:textId="77777777" w:rsidR="007153BD" w:rsidRPr="009854B1" w:rsidRDefault="007153BD" w:rsidP="000A0C6A">
            <w:pPr>
              <w:jc w:val="center"/>
              <w:rPr>
                <w:rFonts w:cs="Calibri"/>
                <w:b/>
                <w:szCs w:val="22"/>
              </w:rPr>
            </w:pPr>
            <w:r w:rsidRPr="009854B1">
              <w:rPr>
                <w:rFonts w:cs="Calibri"/>
                <w:b/>
                <w:szCs w:val="22"/>
              </w:rPr>
              <w:t>Individ. work</w:t>
            </w:r>
          </w:p>
        </w:tc>
        <w:tc>
          <w:tcPr>
            <w:tcW w:w="132" w:type="dxa"/>
            <w:shd w:val="clear" w:color="auto" w:fill="auto"/>
            <w:vAlign w:val="center"/>
          </w:tcPr>
          <w:p w14:paraId="0FD11651" w14:textId="77777777" w:rsidR="007153BD" w:rsidRPr="009854B1" w:rsidRDefault="007153BD" w:rsidP="000A0C6A">
            <w:pPr>
              <w:jc w:val="center"/>
              <w:rPr>
                <w:rFonts w:cs="Calibri"/>
                <w:b/>
                <w:bCs/>
                <w:szCs w:val="22"/>
              </w:rPr>
            </w:pPr>
          </w:p>
        </w:tc>
        <w:tc>
          <w:tcPr>
            <w:tcW w:w="1068" w:type="dxa"/>
            <w:tcBorders>
              <w:top w:val="nil"/>
              <w:left w:val="nil"/>
              <w:bottom w:val="single" w:sz="4" w:space="0" w:color="auto"/>
              <w:right w:val="nil"/>
            </w:tcBorders>
            <w:shd w:val="clear" w:color="auto" w:fill="auto"/>
            <w:vAlign w:val="center"/>
          </w:tcPr>
          <w:p w14:paraId="6351E5FC" w14:textId="77777777" w:rsidR="007153BD" w:rsidRPr="009854B1" w:rsidRDefault="007153BD" w:rsidP="000A0C6A">
            <w:pPr>
              <w:jc w:val="center"/>
              <w:rPr>
                <w:rFonts w:cs="Calibri"/>
                <w:b/>
                <w:szCs w:val="22"/>
              </w:rPr>
            </w:pPr>
            <w:r w:rsidRPr="009854B1">
              <w:rPr>
                <w:rFonts w:cs="Calibri"/>
                <w:b/>
                <w:szCs w:val="22"/>
              </w:rPr>
              <w:t>ECTS</w:t>
            </w:r>
          </w:p>
        </w:tc>
      </w:tr>
      <w:tr w:rsidR="00FB78CA" w:rsidRPr="005A3092" w14:paraId="02946AE5" w14:textId="77777777" w:rsidTr="000A0C6A">
        <w:trPr>
          <w:trHeight w:val="318"/>
        </w:trPr>
        <w:tc>
          <w:tcPr>
            <w:tcW w:w="1410" w:type="dxa"/>
            <w:tcBorders>
              <w:top w:val="single" w:sz="4" w:space="0" w:color="auto"/>
              <w:left w:val="single" w:sz="4" w:space="0" w:color="auto"/>
              <w:bottom w:val="single" w:sz="4" w:space="0" w:color="auto"/>
              <w:right w:val="single" w:sz="4" w:space="0" w:color="auto"/>
            </w:tcBorders>
            <w:vAlign w:val="center"/>
          </w:tcPr>
          <w:p w14:paraId="4D529051" w14:textId="7B3E2093" w:rsidR="00FB78CA" w:rsidRPr="005A3092" w:rsidRDefault="00414B29" w:rsidP="000A0C6A">
            <w:pPr>
              <w:jc w:val="center"/>
              <w:rPr>
                <w:rFonts w:cs="Calibri"/>
                <w:b/>
                <w:bCs/>
                <w:szCs w:val="22"/>
              </w:rPr>
            </w:pPr>
            <w:r>
              <w:rPr>
                <w:rFonts w:cs="Calibri"/>
                <w:b/>
                <w:bCs/>
                <w:szCs w:val="22"/>
              </w:rPr>
              <w:t>45</w:t>
            </w:r>
          </w:p>
        </w:tc>
        <w:tc>
          <w:tcPr>
            <w:tcW w:w="1410" w:type="dxa"/>
            <w:gridSpan w:val="3"/>
            <w:tcBorders>
              <w:top w:val="single" w:sz="4" w:space="0" w:color="auto"/>
              <w:left w:val="single" w:sz="4" w:space="0" w:color="auto"/>
              <w:bottom w:val="single" w:sz="4" w:space="0" w:color="auto"/>
              <w:right w:val="single" w:sz="4" w:space="0" w:color="auto"/>
            </w:tcBorders>
            <w:vAlign w:val="center"/>
          </w:tcPr>
          <w:p w14:paraId="73774A57" w14:textId="2D531534" w:rsidR="00FB78CA" w:rsidRPr="005A3092" w:rsidRDefault="00CC71D2" w:rsidP="000A0C6A">
            <w:pPr>
              <w:jc w:val="center"/>
              <w:rPr>
                <w:rFonts w:cs="Calibri"/>
                <w:b/>
                <w:bCs/>
                <w:szCs w:val="22"/>
              </w:rPr>
            </w:pPr>
            <w:r>
              <w:rPr>
                <w:rFonts w:cs="Calibri"/>
                <w:b/>
                <w:bCs/>
                <w:szCs w:val="22"/>
              </w:rPr>
              <w:t>15</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26BE06B" w14:textId="77777777" w:rsidR="00FB78CA" w:rsidRPr="005A3092" w:rsidRDefault="00FB78CA" w:rsidP="000A0C6A">
            <w:pPr>
              <w:jc w:val="center"/>
              <w:rPr>
                <w:rFonts w:cs="Calibri"/>
                <w:b/>
                <w:bCs/>
                <w:szCs w:val="22"/>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3F8D499B" w14:textId="77777777" w:rsidR="00FB78CA" w:rsidRPr="005A3092" w:rsidRDefault="00FB78CA" w:rsidP="000A0C6A">
            <w:pPr>
              <w:jc w:val="center"/>
              <w:rPr>
                <w:rFonts w:cs="Calibri"/>
                <w:b/>
                <w:bCs/>
                <w:szCs w:val="22"/>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A4D85E5" w14:textId="1974A9A1" w:rsidR="00FB78CA" w:rsidRPr="005A3092" w:rsidRDefault="00FB78CA" w:rsidP="000A0C6A">
            <w:pPr>
              <w:jc w:val="center"/>
              <w:rPr>
                <w:rFonts w:cs="Calibri"/>
                <w:b/>
                <w:bCs/>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B1659B6" w14:textId="40C63AC8" w:rsidR="00FB78CA" w:rsidRPr="005A3092" w:rsidRDefault="00CC71D2" w:rsidP="000A0C6A">
            <w:pPr>
              <w:jc w:val="center"/>
              <w:rPr>
                <w:rFonts w:cs="Calibri"/>
                <w:b/>
                <w:bCs/>
                <w:szCs w:val="22"/>
              </w:rPr>
            </w:pPr>
            <w:r>
              <w:rPr>
                <w:rFonts w:cs="Calibri"/>
                <w:b/>
                <w:bCs/>
                <w:szCs w:val="22"/>
              </w:rPr>
              <w:t>60</w:t>
            </w:r>
          </w:p>
        </w:tc>
        <w:tc>
          <w:tcPr>
            <w:tcW w:w="132" w:type="dxa"/>
            <w:tcBorders>
              <w:top w:val="nil"/>
              <w:left w:val="single" w:sz="4" w:space="0" w:color="auto"/>
              <w:bottom w:val="nil"/>
              <w:right w:val="single" w:sz="4" w:space="0" w:color="auto"/>
            </w:tcBorders>
            <w:vAlign w:val="center"/>
          </w:tcPr>
          <w:p w14:paraId="237C8BD0" w14:textId="77777777" w:rsidR="00FB78CA" w:rsidRPr="005A3092" w:rsidRDefault="00FB78CA" w:rsidP="000A0C6A">
            <w:pPr>
              <w:jc w:val="center"/>
              <w:rPr>
                <w:rFonts w:cs="Calibri"/>
                <w:b/>
                <w:bCs/>
                <w:szCs w:val="22"/>
              </w:rPr>
            </w:pPr>
          </w:p>
        </w:tc>
        <w:tc>
          <w:tcPr>
            <w:tcW w:w="1068" w:type="dxa"/>
            <w:tcBorders>
              <w:top w:val="single" w:sz="4" w:space="0" w:color="auto"/>
              <w:left w:val="single" w:sz="4" w:space="0" w:color="auto"/>
              <w:bottom w:val="single" w:sz="4" w:space="0" w:color="auto"/>
              <w:right w:val="single" w:sz="4" w:space="0" w:color="auto"/>
            </w:tcBorders>
            <w:vAlign w:val="center"/>
          </w:tcPr>
          <w:p w14:paraId="7C0C653A" w14:textId="0FC9F236" w:rsidR="00FB78CA" w:rsidRPr="005A3092" w:rsidRDefault="00CC71D2" w:rsidP="00A55480">
            <w:pPr>
              <w:rPr>
                <w:rFonts w:cs="Calibri"/>
                <w:b/>
                <w:bCs/>
                <w:szCs w:val="22"/>
              </w:rPr>
            </w:pPr>
            <w:r>
              <w:rPr>
                <w:rFonts w:cs="Calibri"/>
                <w:b/>
                <w:bCs/>
                <w:szCs w:val="22"/>
              </w:rPr>
              <w:t>4</w:t>
            </w:r>
          </w:p>
        </w:tc>
      </w:tr>
      <w:tr w:rsidR="007153BD" w:rsidRPr="005A3092" w14:paraId="22C4B502" w14:textId="77777777" w:rsidTr="000A0C6A">
        <w:tc>
          <w:tcPr>
            <w:tcW w:w="9690" w:type="dxa"/>
            <w:gridSpan w:val="18"/>
          </w:tcPr>
          <w:p w14:paraId="12D57A62" w14:textId="77777777" w:rsidR="007153BD" w:rsidRPr="005A3092" w:rsidRDefault="007153BD" w:rsidP="000A0C6A">
            <w:pPr>
              <w:rPr>
                <w:rFonts w:cs="Calibri"/>
                <w:b/>
                <w:bCs/>
                <w:szCs w:val="22"/>
              </w:rPr>
            </w:pPr>
          </w:p>
        </w:tc>
      </w:tr>
      <w:tr w:rsidR="007153BD" w:rsidRPr="005A3092" w14:paraId="1C1D114D" w14:textId="77777777" w:rsidTr="000A0C6A">
        <w:tc>
          <w:tcPr>
            <w:tcW w:w="3307" w:type="dxa"/>
            <w:gridSpan w:val="5"/>
          </w:tcPr>
          <w:p w14:paraId="6F60C911" w14:textId="77777777" w:rsidR="007153BD" w:rsidRPr="005A3092" w:rsidRDefault="007153BD" w:rsidP="000A0C6A">
            <w:pPr>
              <w:rPr>
                <w:rFonts w:cs="Calibri"/>
                <w:b/>
                <w:szCs w:val="22"/>
              </w:rPr>
            </w:pPr>
            <w:r w:rsidRPr="005A3092">
              <w:rPr>
                <w:rFonts w:cs="Calibri"/>
                <w:b/>
                <w:szCs w:val="22"/>
              </w:rPr>
              <w:t>Nosilec predmeta / Lecturer:</w:t>
            </w:r>
          </w:p>
        </w:tc>
        <w:tc>
          <w:tcPr>
            <w:tcW w:w="6383" w:type="dxa"/>
            <w:gridSpan w:val="13"/>
            <w:tcBorders>
              <w:top w:val="single" w:sz="4" w:space="0" w:color="auto"/>
              <w:left w:val="single" w:sz="4" w:space="0" w:color="auto"/>
              <w:bottom w:val="single" w:sz="4" w:space="0" w:color="auto"/>
              <w:right w:val="single" w:sz="4" w:space="0" w:color="auto"/>
            </w:tcBorders>
          </w:tcPr>
          <w:p w14:paraId="6F0E8BFB" w14:textId="170F9819" w:rsidR="007153BD" w:rsidRPr="005A3092" w:rsidRDefault="00CC71D2" w:rsidP="00FB78CA">
            <w:pPr>
              <w:rPr>
                <w:rFonts w:cs="Calibri"/>
                <w:szCs w:val="22"/>
              </w:rPr>
            </w:pPr>
            <w:bookmarkStart w:id="3" w:name="Predavatelj"/>
            <w:bookmarkEnd w:id="3"/>
            <w:r>
              <w:rPr>
                <w:rFonts w:cs="Calibri"/>
                <w:szCs w:val="22"/>
              </w:rPr>
              <w:t>Izr. prof. dr. Klemen Podobnik, doc. dr. Matija Damjan</w:t>
            </w:r>
          </w:p>
        </w:tc>
      </w:tr>
      <w:tr w:rsidR="007153BD" w:rsidRPr="005A3092" w14:paraId="42CF95A8" w14:textId="77777777" w:rsidTr="000A0C6A">
        <w:tc>
          <w:tcPr>
            <w:tcW w:w="9690" w:type="dxa"/>
            <w:gridSpan w:val="18"/>
          </w:tcPr>
          <w:p w14:paraId="222D66DB" w14:textId="77777777" w:rsidR="007153BD" w:rsidRPr="005A3092" w:rsidRDefault="007153BD" w:rsidP="000A0C6A">
            <w:pPr>
              <w:jc w:val="both"/>
              <w:rPr>
                <w:rFonts w:cs="Calibri"/>
                <w:szCs w:val="22"/>
              </w:rPr>
            </w:pPr>
          </w:p>
        </w:tc>
      </w:tr>
      <w:tr w:rsidR="007153BD" w:rsidRPr="005A3092" w14:paraId="469DB5EF" w14:textId="77777777" w:rsidTr="000A0C6A">
        <w:tc>
          <w:tcPr>
            <w:tcW w:w="1641" w:type="dxa"/>
            <w:gridSpan w:val="2"/>
            <w:vMerge w:val="restart"/>
          </w:tcPr>
          <w:p w14:paraId="30AD2D6B" w14:textId="77777777" w:rsidR="007153BD" w:rsidRPr="005A3092" w:rsidRDefault="007153BD" w:rsidP="000A0C6A">
            <w:pPr>
              <w:rPr>
                <w:rFonts w:cs="Calibri"/>
                <w:b/>
                <w:szCs w:val="22"/>
              </w:rPr>
            </w:pPr>
            <w:r w:rsidRPr="005A3092">
              <w:rPr>
                <w:rFonts w:cs="Calibri"/>
                <w:b/>
                <w:szCs w:val="22"/>
              </w:rPr>
              <w:t xml:space="preserve">Jeziki / </w:t>
            </w:r>
          </w:p>
          <w:p w14:paraId="7EB41E1C" w14:textId="77777777" w:rsidR="007153BD" w:rsidRPr="005A3092" w:rsidRDefault="007153BD" w:rsidP="000A0C6A">
            <w:pPr>
              <w:rPr>
                <w:rFonts w:cs="Calibri"/>
                <w:szCs w:val="22"/>
              </w:rPr>
            </w:pPr>
            <w:r w:rsidRPr="005A3092">
              <w:rPr>
                <w:rFonts w:cs="Calibri"/>
                <w:b/>
                <w:szCs w:val="22"/>
              </w:rPr>
              <w:t>Languages:</w:t>
            </w:r>
          </w:p>
        </w:tc>
        <w:tc>
          <w:tcPr>
            <w:tcW w:w="2241" w:type="dxa"/>
            <w:gridSpan w:val="4"/>
          </w:tcPr>
          <w:p w14:paraId="5EF419DF" w14:textId="77777777" w:rsidR="007153BD" w:rsidRPr="005A3092" w:rsidRDefault="007153BD" w:rsidP="000A0C6A">
            <w:pPr>
              <w:jc w:val="right"/>
              <w:rPr>
                <w:rFonts w:cs="Calibri"/>
                <w:b/>
                <w:szCs w:val="22"/>
              </w:rPr>
            </w:pPr>
            <w:r w:rsidRPr="005A3092">
              <w:rPr>
                <w:rFonts w:cs="Calibri"/>
                <w:b/>
                <w:szCs w:val="22"/>
              </w:rPr>
              <w:t>Predavanja / Lectures:</w:t>
            </w:r>
          </w:p>
        </w:tc>
        <w:tc>
          <w:tcPr>
            <w:tcW w:w="5808" w:type="dxa"/>
            <w:gridSpan w:val="12"/>
            <w:tcBorders>
              <w:top w:val="single" w:sz="4" w:space="0" w:color="auto"/>
              <w:left w:val="single" w:sz="4" w:space="0" w:color="auto"/>
              <w:bottom w:val="single" w:sz="4" w:space="0" w:color="auto"/>
              <w:right w:val="single" w:sz="4" w:space="0" w:color="auto"/>
            </w:tcBorders>
          </w:tcPr>
          <w:p w14:paraId="55916A09" w14:textId="2B3B07C0" w:rsidR="007153BD" w:rsidRPr="005A3092" w:rsidRDefault="00CC71D2" w:rsidP="000A0C6A">
            <w:pPr>
              <w:jc w:val="both"/>
              <w:rPr>
                <w:rFonts w:cs="Calibri"/>
                <w:b/>
                <w:bCs/>
                <w:szCs w:val="22"/>
              </w:rPr>
            </w:pPr>
            <w:bookmarkStart w:id="4" w:name="Jezik"/>
            <w:bookmarkEnd w:id="4"/>
            <w:r>
              <w:rPr>
                <w:rFonts w:cs="Calibri"/>
                <w:b/>
                <w:bCs/>
                <w:szCs w:val="22"/>
              </w:rPr>
              <w:t>Slovenski</w:t>
            </w:r>
          </w:p>
        </w:tc>
      </w:tr>
      <w:tr w:rsidR="007153BD" w:rsidRPr="005A3092" w14:paraId="555CAF9D" w14:textId="77777777" w:rsidTr="000A0C6A">
        <w:trPr>
          <w:trHeight w:val="215"/>
        </w:trPr>
        <w:tc>
          <w:tcPr>
            <w:tcW w:w="1641" w:type="dxa"/>
            <w:gridSpan w:val="2"/>
            <w:vMerge/>
            <w:vAlign w:val="center"/>
          </w:tcPr>
          <w:p w14:paraId="2B59636C" w14:textId="77777777" w:rsidR="007153BD" w:rsidRPr="005A3092" w:rsidRDefault="007153BD" w:rsidP="000A0C6A">
            <w:pPr>
              <w:rPr>
                <w:rFonts w:cs="Calibri"/>
                <w:b/>
                <w:bCs/>
                <w:szCs w:val="22"/>
              </w:rPr>
            </w:pPr>
          </w:p>
        </w:tc>
        <w:tc>
          <w:tcPr>
            <w:tcW w:w="2241" w:type="dxa"/>
            <w:gridSpan w:val="4"/>
          </w:tcPr>
          <w:p w14:paraId="1F47F8A8" w14:textId="77777777" w:rsidR="007153BD" w:rsidRPr="005A3092" w:rsidRDefault="007153BD" w:rsidP="000A0C6A">
            <w:pPr>
              <w:jc w:val="right"/>
              <w:rPr>
                <w:rFonts w:cs="Calibri"/>
                <w:b/>
                <w:szCs w:val="22"/>
              </w:rPr>
            </w:pPr>
            <w:r w:rsidRPr="005A3092">
              <w:rPr>
                <w:rFonts w:cs="Calibri"/>
                <w:b/>
                <w:szCs w:val="22"/>
              </w:rPr>
              <w:t>Vaje / Tutorial:</w:t>
            </w:r>
          </w:p>
        </w:tc>
        <w:tc>
          <w:tcPr>
            <w:tcW w:w="5808" w:type="dxa"/>
            <w:gridSpan w:val="12"/>
            <w:tcBorders>
              <w:top w:val="single" w:sz="4" w:space="0" w:color="auto"/>
              <w:left w:val="single" w:sz="4" w:space="0" w:color="auto"/>
              <w:bottom w:val="single" w:sz="4" w:space="0" w:color="auto"/>
              <w:right w:val="single" w:sz="4" w:space="0" w:color="auto"/>
            </w:tcBorders>
          </w:tcPr>
          <w:p w14:paraId="271B1761" w14:textId="77777777" w:rsidR="007153BD" w:rsidRPr="005A3092" w:rsidRDefault="007153BD" w:rsidP="000A0C6A">
            <w:pPr>
              <w:jc w:val="both"/>
              <w:rPr>
                <w:rFonts w:cs="Calibri"/>
                <w:b/>
                <w:bCs/>
                <w:szCs w:val="22"/>
              </w:rPr>
            </w:pPr>
            <w:bookmarkStart w:id="5" w:name="JezikV"/>
            <w:bookmarkEnd w:id="5"/>
          </w:p>
        </w:tc>
      </w:tr>
      <w:tr w:rsidR="007153BD" w:rsidRPr="005A3092" w14:paraId="206292E4" w14:textId="77777777" w:rsidTr="000A0C6A">
        <w:tc>
          <w:tcPr>
            <w:tcW w:w="4728" w:type="dxa"/>
            <w:gridSpan w:val="9"/>
            <w:tcBorders>
              <w:top w:val="nil"/>
              <w:left w:val="nil"/>
              <w:bottom w:val="single" w:sz="4" w:space="0" w:color="auto"/>
              <w:right w:val="nil"/>
            </w:tcBorders>
          </w:tcPr>
          <w:p w14:paraId="5FCA0FE5" w14:textId="77777777" w:rsidR="007153BD" w:rsidRPr="005A3092" w:rsidRDefault="007153BD" w:rsidP="000A0C6A">
            <w:pPr>
              <w:rPr>
                <w:rFonts w:cs="Calibri"/>
                <w:b/>
                <w:bCs/>
                <w:szCs w:val="22"/>
              </w:rPr>
            </w:pPr>
          </w:p>
          <w:p w14:paraId="65D0B9AD" w14:textId="77777777" w:rsidR="007153BD" w:rsidRPr="005A3092" w:rsidRDefault="007153BD" w:rsidP="000A0C6A">
            <w:pPr>
              <w:rPr>
                <w:rFonts w:cs="Calibri"/>
                <w:b/>
                <w:szCs w:val="22"/>
              </w:rPr>
            </w:pPr>
            <w:r w:rsidRPr="005A3092">
              <w:rPr>
                <w:rFonts w:cs="Calibri"/>
                <w:b/>
                <w:szCs w:val="22"/>
              </w:rPr>
              <w:t>Pogoji za vključitev v delo oz. za opravljanje študijskih obveznosti:</w:t>
            </w:r>
          </w:p>
        </w:tc>
        <w:tc>
          <w:tcPr>
            <w:tcW w:w="142" w:type="dxa"/>
          </w:tcPr>
          <w:p w14:paraId="13701ADC" w14:textId="77777777" w:rsidR="007153BD" w:rsidRPr="005A3092" w:rsidRDefault="007153BD" w:rsidP="000A0C6A">
            <w:pPr>
              <w:rPr>
                <w:rFonts w:cs="Calibri"/>
                <w:b/>
                <w:szCs w:val="22"/>
              </w:rPr>
            </w:pPr>
          </w:p>
          <w:p w14:paraId="4EC32ACF" w14:textId="77777777" w:rsidR="007153BD" w:rsidRPr="005A3092" w:rsidRDefault="007153BD" w:rsidP="000A0C6A">
            <w:pPr>
              <w:rPr>
                <w:rFonts w:cs="Calibri"/>
                <w:b/>
                <w:szCs w:val="22"/>
              </w:rPr>
            </w:pPr>
          </w:p>
        </w:tc>
        <w:tc>
          <w:tcPr>
            <w:tcW w:w="4820" w:type="dxa"/>
            <w:gridSpan w:val="8"/>
            <w:tcBorders>
              <w:top w:val="nil"/>
              <w:left w:val="nil"/>
              <w:bottom w:val="single" w:sz="4" w:space="0" w:color="auto"/>
              <w:right w:val="nil"/>
            </w:tcBorders>
          </w:tcPr>
          <w:p w14:paraId="304E2C94" w14:textId="77777777" w:rsidR="007153BD" w:rsidRPr="005A3092" w:rsidRDefault="007153BD" w:rsidP="000A0C6A">
            <w:pPr>
              <w:rPr>
                <w:rFonts w:cs="Calibri"/>
                <w:b/>
                <w:szCs w:val="22"/>
              </w:rPr>
            </w:pPr>
          </w:p>
          <w:p w14:paraId="4210FA63" w14:textId="77777777" w:rsidR="007153BD" w:rsidRPr="005A3092" w:rsidRDefault="007153BD" w:rsidP="000A0C6A">
            <w:pPr>
              <w:rPr>
                <w:rFonts w:cs="Calibri"/>
                <w:b/>
                <w:szCs w:val="22"/>
              </w:rPr>
            </w:pPr>
            <w:r w:rsidRPr="005A3092">
              <w:rPr>
                <w:rFonts w:cs="Calibri"/>
                <w:b/>
                <w:szCs w:val="22"/>
              </w:rPr>
              <w:t>Prerequisits:</w:t>
            </w:r>
          </w:p>
        </w:tc>
      </w:tr>
      <w:tr w:rsidR="007153BD" w:rsidRPr="005A3092" w14:paraId="0AFA0583" w14:textId="77777777" w:rsidTr="000A0C6A">
        <w:trPr>
          <w:trHeight w:val="2665"/>
        </w:trPr>
        <w:tc>
          <w:tcPr>
            <w:tcW w:w="4728" w:type="dxa"/>
            <w:gridSpan w:val="9"/>
            <w:tcBorders>
              <w:top w:val="single" w:sz="4" w:space="0" w:color="auto"/>
              <w:left w:val="single" w:sz="4" w:space="0" w:color="auto"/>
              <w:bottom w:val="single" w:sz="4" w:space="0" w:color="auto"/>
              <w:right w:val="single" w:sz="4" w:space="0" w:color="auto"/>
            </w:tcBorders>
          </w:tcPr>
          <w:p w14:paraId="00A9F007" w14:textId="4F6529B7" w:rsidR="007153BD" w:rsidRPr="005A3092" w:rsidRDefault="00CC71D2" w:rsidP="003A7F10">
            <w:pPr>
              <w:rPr>
                <w:rFonts w:cs="Calibri"/>
                <w:szCs w:val="22"/>
              </w:rPr>
            </w:pPr>
            <w:r>
              <w:t>Za vključitev v predmet mora imeti študent dokončan prvi do četrti semester študija oziroma ustrezna znanja s področja splošnega civilnega in gospodarskega prava.</w:t>
            </w:r>
          </w:p>
        </w:tc>
        <w:tc>
          <w:tcPr>
            <w:tcW w:w="142" w:type="dxa"/>
            <w:tcBorders>
              <w:top w:val="nil"/>
              <w:left w:val="single" w:sz="4" w:space="0" w:color="auto"/>
              <w:bottom w:val="nil"/>
              <w:right w:val="single" w:sz="4" w:space="0" w:color="auto"/>
            </w:tcBorders>
          </w:tcPr>
          <w:p w14:paraId="1269DCB1" w14:textId="77777777" w:rsidR="007153BD" w:rsidRPr="005A3092" w:rsidRDefault="007153BD" w:rsidP="000A0C6A">
            <w:pPr>
              <w:rPr>
                <w:rFonts w:cs="Calibri"/>
                <w:szCs w:val="22"/>
              </w:rPr>
            </w:pPr>
          </w:p>
        </w:tc>
        <w:tc>
          <w:tcPr>
            <w:tcW w:w="4820" w:type="dxa"/>
            <w:gridSpan w:val="8"/>
            <w:tcBorders>
              <w:top w:val="single" w:sz="4" w:space="0" w:color="auto"/>
              <w:left w:val="single" w:sz="4" w:space="0" w:color="auto"/>
              <w:bottom w:val="single" w:sz="4" w:space="0" w:color="auto"/>
              <w:right w:val="single" w:sz="4" w:space="0" w:color="auto"/>
            </w:tcBorders>
          </w:tcPr>
          <w:p w14:paraId="024422DC" w14:textId="77777777" w:rsidR="007153BD" w:rsidRPr="005A3092" w:rsidRDefault="007153BD" w:rsidP="000A0C6A">
            <w:pPr>
              <w:rPr>
                <w:rFonts w:cs="Calibri"/>
                <w:szCs w:val="22"/>
              </w:rPr>
            </w:pPr>
          </w:p>
        </w:tc>
      </w:tr>
      <w:tr w:rsidR="007153BD" w:rsidRPr="005A3092" w14:paraId="13B544D4" w14:textId="77777777" w:rsidTr="000A0C6A">
        <w:trPr>
          <w:trHeight w:val="137"/>
        </w:trPr>
        <w:tc>
          <w:tcPr>
            <w:tcW w:w="4718" w:type="dxa"/>
            <w:gridSpan w:val="8"/>
            <w:tcBorders>
              <w:top w:val="nil"/>
              <w:left w:val="nil"/>
              <w:bottom w:val="single" w:sz="4" w:space="0" w:color="auto"/>
              <w:right w:val="nil"/>
            </w:tcBorders>
          </w:tcPr>
          <w:p w14:paraId="34B23B89" w14:textId="77777777" w:rsidR="007153BD" w:rsidRPr="005A3092" w:rsidRDefault="007153BD" w:rsidP="000A0C6A">
            <w:pPr>
              <w:rPr>
                <w:rFonts w:cs="Calibri"/>
                <w:b/>
                <w:szCs w:val="22"/>
              </w:rPr>
            </w:pPr>
          </w:p>
          <w:p w14:paraId="34A2CDCA" w14:textId="77777777" w:rsidR="007153BD" w:rsidRPr="005A3092" w:rsidRDefault="007153BD" w:rsidP="000A0C6A">
            <w:pPr>
              <w:rPr>
                <w:rFonts w:cs="Calibri"/>
                <w:b/>
                <w:szCs w:val="22"/>
              </w:rPr>
            </w:pPr>
            <w:r w:rsidRPr="005A3092">
              <w:rPr>
                <w:rFonts w:cs="Calibri"/>
                <w:b/>
                <w:szCs w:val="22"/>
              </w:rPr>
              <w:t>Vsebina:</w:t>
            </w:r>
            <w:r w:rsidRPr="005A3092">
              <w:rPr>
                <w:rFonts w:cs="Calibri"/>
                <w:szCs w:val="22"/>
              </w:rPr>
              <w:t xml:space="preserve"> </w:t>
            </w:r>
          </w:p>
        </w:tc>
        <w:tc>
          <w:tcPr>
            <w:tcW w:w="152" w:type="dxa"/>
            <w:gridSpan w:val="2"/>
          </w:tcPr>
          <w:p w14:paraId="64BD9B38" w14:textId="77777777" w:rsidR="007153BD" w:rsidRPr="005A3092" w:rsidRDefault="007153BD" w:rsidP="000A0C6A">
            <w:pPr>
              <w:rPr>
                <w:rFonts w:cs="Calibri"/>
                <w:b/>
                <w:szCs w:val="22"/>
              </w:rPr>
            </w:pPr>
          </w:p>
        </w:tc>
        <w:tc>
          <w:tcPr>
            <w:tcW w:w="4820" w:type="dxa"/>
            <w:gridSpan w:val="8"/>
            <w:tcBorders>
              <w:top w:val="nil"/>
              <w:left w:val="nil"/>
              <w:bottom w:val="single" w:sz="4" w:space="0" w:color="auto"/>
              <w:right w:val="nil"/>
            </w:tcBorders>
          </w:tcPr>
          <w:p w14:paraId="58F88F34" w14:textId="77777777" w:rsidR="007153BD" w:rsidRPr="005A3092" w:rsidRDefault="007153BD" w:rsidP="000A0C6A">
            <w:pPr>
              <w:rPr>
                <w:rFonts w:cs="Calibri"/>
                <w:b/>
                <w:szCs w:val="22"/>
              </w:rPr>
            </w:pPr>
          </w:p>
          <w:p w14:paraId="529AB241" w14:textId="77777777" w:rsidR="007153BD" w:rsidRPr="005A3092" w:rsidRDefault="007153BD" w:rsidP="000A0C6A">
            <w:pPr>
              <w:rPr>
                <w:rFonts w:cs="Calibri"/>
                <w:b/>
                <w:szCs w:val="22"/>
              </w:rPr>
            </w:pPr>
            <w:r w:rsidRPr="005A3092">
              <w:rPr>
                <w:rFonts w:cs="Calibri"/>
                <w:b/>
                <w:szCs w:val="22"/>
              </w:rPr>
              <w:t>Content (Syllabus outline):</w:t>
            </w:r>
          </w:p>
        </w:tc>
      </w:tr>
      <w:tr w:rsidR="007153BD" w:rsidRPr="009854B1" w14:paraId="176A4602" w14:textId="77777777" w:rsidTr="000A0C6A">
        <w:trPr>
          <w:trHeight w:val="2665"/>
        </w:trPr>
        <w:tc>
          <w:tcPr>
            <w:tcW w:w="4718" w:type="dxa"/>
            <w:gridSpan w:val="8"/>
            <w:tcBorders>
              <w:top w:val="single" w:sz="4" w:space="0" w:color="auto"/>
              <w:left w:val="single" w:sz="4" w:space="0" w:color="auto"/>
              <w:bottom w:val="single" w:sz="4" w:space="0" w:color="auto"/>
              <w:right w:val="single" w:sz="4" w:space="0" w:color="auto"/>
            </w:tcBorders>
          </w:tcPr>
          <w:p w14:paraId="47457C8C" w14:textId="77777777" w:rsidR="00CC71D2" w:rsidRPr="009854B1" w:rsidRDefault="00CC71D2" w:rsidP="00CC71D2">
            <w:pPr>
              <w:pStyle w:val="Default"/>
              <w:numPr>
                <w:ilvl w:val="0"/>
                <w:numId w:val="1"/>
              </w:numPr>
              <w:rPr>
                <w:rFonts w:asciiTheme="minorHAnsi" w:hAnsiTheme="minorHAnsi" w:cstheme="minorHAnsi"/>
              </w:rPr>
            </w:pPr>
            <w:bookmarkStart w:id="6" w:name="_Hlk31204203"/>
            <w:r w:rsidRPr="009854B1">
              <w:rPr>
                <w:rFonts w:asciiTheme="minorHAnsi" w:hAnsiTheme="minorHAnsi" w:cstheme="minorHAnsi"/>
              </w:rPr>
              <w:lastRenderedPageBreak/>
              <w:t>Splošne značilnosti interneta</w:t>
            </w:r>
          </w:p>
          <w:p w14:paraId="0F1E84AA" w14:textId="52C2AB08" w:rsidR="00CC71D2" w:rsidRPr="009854B1" w:rsidRDefault="0068588E" w:rsidP="00800BFD">
            <w:pPr>
              <w:pStyle w:val="Default"/>
              <w:numPr>
                <w:ilvl w:val="0"/>
                <w:numId w:val="1"/>
              </w:numPr>
              <w:rPr>
                <w:rFonts w:asciiTheme="minorHAnsi" w:hAnsiTheme="minorHAnsi" w:cstheme="minorHAnsi"/>
              </w:rPr>
            </w:pPr>
            <w:r w:rsidRPr="009854B1">
              <w:rPr>
                <w:rFonts w:asciiTheme="minorHAnsi" w:hAnsiTheme="minorHAnsi" w:cstheme="minorHAnsi"/>
              </w:rPr>
              <w:t>Osnove</w:t>
            </w:r>
            <w:r w:rsidR="00AA2711" w:rsidRPr="009854B1">
              <w:rPr>
                <w:rFonts w:asciiTheme="minorHAnsi" w:hAnsiTheme="minorHAnsi" w:cstheme="minorHAnsi"/>
              </w:rPr>
              <w:t xml:space="preserve"> </w:t>
            </w:r>
            <w:r w:rsidRPr="009854B1">
              <w:rPr>
                <w:rFonts w:asciiTheme="minorHAnsi" w:hAnsiTheme="minorHAnsi" w:cstheme="minorHAnsi"/>
              </w:rPr>
              <w:t>regulacije</w:t>
            </w:r>
            <w:r w:rsidR="00800BFD" w:rsidRPr="009854B1">
              <w:rPr>
                <w:rFonts w:asciiTheme="minorHAnsi" w:hAnsiTheme="minorHAnsi" w:cstheme="minorHAnsi"/>
              </w:rPr>
              <w:t xml:space="preserve"> </w:t>
            </w:r>
            <w:r w:rsidR="005C6E53" w:rsidRPr="009854B1">
              <w:rPr>
                <w:rFonts w:asciiTheme="minorHAnsi" w:hAnsiTheme="minorHAnsi" w:cstheme="minorHAnsi"/>
              </w:rPr>
              <w:t xml:space="preserve">zasebnopravnih razmerij v </w:t>
            </w:r>
            <w:r w:rsidR="00800BFD" w:rsidRPr="009854B1">
              <w:rPr>
                <w:rFonts w:asciiTheme="minorHAnsi" w:hAnsiTheme="minorHAnsi" w:cstheme="minorHAnsi"/>
              </w:rPr>
              <w:t>internet</w:t>
            </w:r>
            <w:r w:rsidR="005C6E53" w:rsidRPr="009854B1">
              <w:rPr>
                <w:rFonts w:asciiTheme="minorHAnsi" w:hAnsiTheme="minorHAnsi" w:cstheme="minorHAnsi"/>
              </w:rPr>
              <w:t>nem okolju</w:t>
            </w:r>
          </w:p>
          <w:p w14:paraId="364A3C1E" w14:textId="65FBB1CB" w:rsidR="0068588E" w:rsidRPr="009854B1" w:rsidRDefault="0068588E" w:rsidP="00800BFD">
            <w:pPr>
              <w:pStyle w:val="Default"/>
              <w:numPr>
                <w:ilvl w:val="0"/>
                <w:numId w:val="1"/>
              </w:numPr>
              <w:rPr>
                <w:rFonts w:asciiTheme="minorHAnsi" w:hAnsiTheme="minorHAnsi" w:cstheme="minorHAnsi"/>
              </w:rPr>
            </w:pPr>
            <w:r w:rsidRPr="009854B1">
              <w:rPr>
                <w:rFonts w:asciiTheme="minorHAnsi" w:hAnsiTheme="minorHAnsi" w:cstheme="minorHAnsi"/>
              </w:rPr>
              <w:t>Načelo urejanja dejavnosti pri viru</w:t>
            </w:r>
          </w:p>
          <w:p w14:paraId="03E0B3DB" w14:textId="2483F843" w:rsidR="001E3ADB" w:rsidRPr="009854B1" w:rsidRDefault="001E3ADB" w:rsidP="00800BFD">
            <w:pPr>
              <w:pStyle w:val="Default"/>
              <w:numPr>
                <w:ilvl w:val="0"/>
                <w:numId w:val="1"/>
              </w:numPr>
              <w:rPr>
                <w:rFonts w:asciiTheme="minorHAnsi" w:hAnsiTheme="minorHAnsi" w:cstheme="minorHAnsi"/>
              </w:rPr>
            </w:pPr>
            <w:r w:rsidRPr="009854B1">
              <w:rPr>
                <w:rFonts w:asciiTheme="minorHAnsi" w:hAnsiTheme="minorHAnsi" w:cstheme="minorHAnsi"/>
              </w:rPr>
              <w:t>Gospodarski posli na digitalnem trgu</w:t>
            </w:r>
          </w:p>
          <w:p w14:paraId="02FECCE3" w14:textId="27AD8280" w:rsidR="0068588E" w:rsidRPr="009854B1" w:rsidRDefault="0068588E" w:rsidP="00800BFD">
            <w:pPr>
              <w:pStyle w:val="Default"/>
              <w:numPr>
                <w:ilvl w:val="0"/>
                <w:numId w:val="1"/>
              </w:numPr>
              <w:rPr>
                <w:rFonts w:asciiTheme="minorHAnsi" w:hAnsiTheme="minorHAnsi" w:cstheme="minorHAnsi"/>
              </w:rPr>
            </w:pPr>
            <w:r w:rsidRPr="009854B1">
              <w:rPr>
                <w:rFonts w:asciiTheme="minorHAnsi" w:hAnsiTheme="minorHAnsi" w:cstheme="minorHAnsi"/>
              </w:rPr>
              <w:t>Odgovornost internetnih posrednikov</w:t>
            </w:r>
          </w:p>
          <w:p w14:paraId="09D12526" w14:textId="148AF97D" w:rsidR="003C0742" w:rsidRPr="009854B1" w:rsidRDefault="003C0742" w:rsidP="003C0742">
            <w:pPr>
              <w:pStyle w:val="Default"/>
              <w:numPr>
                <w:ilvl w:val="0"/>
                <w:numId w:val="1"/>
              </w:numPr>
              <w:rPr>
                <w:rFonts w:asciiTheme="minorHAnsi" w:hAnsiTheme="minorHAnsi" w:cstheme="minorHAnsi"/>
              </w:rPr>
            </w:pPr>
            <w:r w:rsidRPr="009854B1">
              <w:rPr>
                <w:rFonts w:asciiTheme="minorHAnsi" w:hAnsiTheme="minorHAnsi" w:cstheme="minorHAnsi"/>
              </w:rPr>
              <w:t xml:space="preserve">Internetni velikani </w:t>
            </w:r>
            <w:r w:rsidR="00AA2711" w:rsidRPr="009854B1">
              <w:rPr>
                <w:rFonts w:asciiTheme="minorHAnsi" w:hAnsiTheme="minorHAnsi" w:cstheme="minorHAnsi"/>
              </w:rPr>
              <w:t xml:space="preserve">in trg pozornosti ter demografskih podatkov </w:t>
            </w:r>
            <w:r w:rsidRPr="009854B1">
              <w:rPr>
                <w:rFonts w:asciiTheme="minorHAnsi" w:hAnsiTheme="minorHAnsi" w:cstheme="minorHAnsi"/>
              </w:rPr>
              <w:t>– razlog</w:t>
            </w:r>
            <w:r w:rsidR="00D97A00" w:rsidRPr="009854B1">
              <w:rPr>
                <w:rFonts w:asciiTheme="minorHAnsi" w:hAnsiTheme="minorHAnsi" w:cstheme="minorHAnsi"/>
              </w:rPr>
              <w:t>i</w:t>
            </w:r>
            <w:r w:rsidRPr="009854B1">
              <w:rPr>
                <w:rFonts w:asciiTheme="minorHAnsi" w:hAnsiTheme="minorHAnsi" w:cstheme="minorHAnsi"/>
              </w:rPr>
              <w:t xml:space="preserve"> za novo paradigmo konkurenčnega prava?</w:t>
            </w:r>
          </w:p>
          <w:p w14:paraId="1CA00378" w14:textId="0A4DAA57" w:rsidR="00AA2711" w:rsidRPr="009854B1" w:rsidRDefault="001E3ADB" w:rsidP="00AA2711">
            <w:pPr>
              <w:pStyle w:val="Default"/>
              <w:numPr>
                <w:ilvl w:val="0"/>
                <w:numId w:val="1"/>
              </w:numPr>
              <w:rPr>
                <w:rFonts w:asciiTheme="minorHAnsi" w:hAnsiTheme="minorHAnsi" w:cstheme="minorHAnsi"/>
              </w:rPr>
            </w:pPr>
            <w:r w:rsidRPr="009854B1">
              <w:rPr>
                <w:rFonts w:asciiTheme="minorHAnsi" w:hAnsiTheme="minorHAnsi" w:cstheme="minorHAnsi"/>
              </w:rPr>
              <w:t>Avtorska in sorodne pravice na</w:t>
            </w:r>
            <w:r w:rsidR="00AA2711" w:rsidRPr="009854B1">
              <w:rPr>
                <w:rFonts w:asciiTheme="minorHAnsi" w:hAnsiTheme="minorHAnsi" w:cstheme="minorHAnsi"/>
              </w:rPr>
              <w:t xml:space="preserve"> enotnem digitalnem trgu</w:t>
            </w:r>
            <w:r w:rsidR="00DE7BE0" w:rsidRPr="009854B1">
              <w:rPr>
                <w:rFonts w:asciiTheme="minorHAnsi" w:hAnsiTheme="minorHAnsi" w:cstheme="minorHAnsi"/>
              </w:rPr>
              <w:t xml:space="preserve"> EU</w:t>
            </w:r>
          </w:p>
          <w:p w14:paraId="10FD0795" w14:textId="2760F493" w:rsidR="00AA2711" w:rsidRPr="009854B1" w:rsidRDefault="00AA2711" w:rsidP="00AA2711">
            <w:pPr>
              <w:pStyle w:val="Default"/>
              <w:ind w:left="480"/>
              <w:rPr>
                <w:rFonts w:asciiTheme="minorHAnsi" w:hAnsiTheme="minorHAnsi" w:cstheme="minorHAnsi"/>
              </w:rPr>
            </w:pPr>
          </w:p>
          <w:bookmarkEnd w:id="6"/>
          <w:p w14:paraId="2C1E2AFF" w14:textId="79A6DB15" w:rsidR="00D97A00" w:rsidRPr="009854B1" w:rsidRDefault="00D97A00" w:rsidP="00434840">
            <w:pPr>
              <w:pStyle w:val="Default"/>
              <w:ind w:left="120"/>
              <w:rPr>
                <w:rFonts w:asciiTheme="minorHAnsi" w:hAnsiTheme="minorHAnsi" w:cstheme="minorHAnsi"/>
              </w:rPr>
            </w:pPr>
          </w:p>
        </w:tc>
        <w:tc>
          <w:tcPr>
            <w:tcW w:w="152" w:type="dxa"/>
            <w:gridSpan w:val="2"/>
            <w:tcBorders>
              <w:top w:val="nil"/>
              <w:left w:val="single" w:sz="4" w:space="0" w:color="auto"/>
              <w:bottom w:val="nil"/>
              <w:right w:val="single" w:sz="4" w:space="0" w:color="auto"/>
            </w:tcBorders>
          </w:tcPr>
          <w:p w14:paraId="1C643209" w14:textId="77777777" w:rsidR="007153BD" w:rsidRPr="009854B1" w:rsidRDefault="007153BD" w:rsidP="0068588E">
            <w:pPr>
              <w:rPr>
                <w:rFonts w:asciiTheme="minorHAnsi" w:hAnsiTheme="minorHAnsi" w:cstheme="minorHAnsi"/>
              </w:rPr>
            </w:pPr>
          </w:p>
        </w:tc>
        <w:tc>
          <w:tcPr>
            <w:tcW w:w="4820" w:type="dxa"/>
            <w:gridSpan w:val="8"/>
            <w:tcBorders>
              <w:top w:val="single" w:sz="4" w:space="0" w:color="auto"/>
              <w:left w:val="single" w:sz="4" w:space="0" w:color="auto"/>
              <w:bottom w:val="single" w:sz="4" w:space="0" w:color="auto"/>
              <w:right w:val="single" w:sz="4" w:space="0" w:color="auto"/>
            </w:tcBorders>
          </w:tcPr>
          <w:p w14:paraId="4AE03BFD" w14:textId="77777777" w:rsidR="007153BD" w:rsidRPr="009854B1" w:rsidRDefault="007153BD" w:rsidP="000A0C6A">
            <w:pPr>
              <w:rPr>
                <w:rFonts w:asciiTheme="minorHAnsi" w:hAnsiTheme="minorHAnsi" w:cstheme="minorHAnsi"/>
              </w:rPr>
            </w:pPr>
          </w:p>
        </w:tc>
      </w:tr>
    </w:tbl>
    <w:p w14:paraId="630C802F" w14:textId="77777777" w:rsidR="007153BD" w:rsidRPr="009854B1" w:rsidRDefault="007153BD" w:rsidP="007153BD">
      <w:pPr>
        <w:rPr>
          <w:rFonts w:asciiTheme="minorHAnsi" w:hAnsiTheme="minorHAnsi" w:cstheme="minorHAnsi"/>
        </w:rPr>
      </w:pPr>
    </w:p>
    <w:tbl>
      <w:tblPr>
        <w:tblW w:w="9690" w:type="dxa"/>
        <w:tblLayout w:type="fixed"/>
        <w:tblCellMar>
          <w:left w:w="56" w:type="dxa"/>
          <w:right w:w="56" w:type="dxa"/>
        </w:tblCellMar>
        <w:tblLook w:val="00A0" w:firstRow="1" w:lastRow="0" w:firstColumn="1" w:lastColumn="0" w:noHBand="0" w:noVBand="0"/>
      </w:tblPr>
      <w:tblGrid>
        <w:gridCol w:w="4020"/>
        <w:gridCol w:w="697"/>
        <w:gridCol w:w="10"/>
        <w:gridCol w:w="142"/>
        <w:gridCol w:w="711"/>
        <w:gridCol w:w="4110"/>
      </w:tblGrid>
      <w:tr w:rsidR="007153BD" w:rsidRPr="009854B1" w14:paraId="66C2BD76" w14:textId="77777777" w:rsidTr="000A0C6A">
        <w:tc>
          <w:tcPr>
            <w:tcW w:w="9695" w:type="dxa"/>
            <w:gridSpan w:val="6"/>
          </w:tcPr>
          <w:p w14:paraId="719E7386" w14:textId="77777777" w:rsidR="007153BD" w:rsidRPr="009854B1" w:rsidRDefault="007153BD" w:rsidP="00AF6F00">
            <w:pPr>
              <w:jc w:val="both"/>
              <w:rPr>
                <w:rFonts w:asciiTheme="minorHAnsi" w:hAnsiTheme="minorHAnsi" w:cstheme="minorHAnsi"/>
                <w:b/>
              </w:rPr>
            </w:pPr>
            <w:r w:rsidRPr="009854B1">
              <w:rPr>
                <w:rFonts w:asciiTheme="minorHAnsi" w:hAnsiTheme="minorHAnsi" w:cstheme="minorHAnsi"/>
              </w:rPr>
              <w:br w:type="page"/>
            </w:r>
            <w:r w:rsidRPr="009854B1">
              <w:rPr>
                <w:rFonts w:asciiTheme="minorHAnsi" w:hAnsiTheme="minorHAnsi" w:cstheme="minorHAnsi"/>
                <w:b/>
              </w:rPr>
              <w:t>Temeljni literatura in viri / Readings:</w:t>
            </w:r>
            <w:r w:rsidR="005D7E70" w:rsidRPr="009854B1">
              <w:rPr>
                <w:rFonts w:asciiTheme="minorHAnsi" w:hAnsiTheme="minorHAnsi" w:cstheme="minorHAnsi"/>
                <w:b/>
              </w:rPr>
              <w:t xml:space="preserve"> </w:t>
            </w:r>
          </w:p>
        </w:tc>
      </w:tr>
      <w:tr w:rsidR="007153BD" w:rsidRPr="009854B1" w14:paraId="751DFB94" w14:textId="77777777" w:rsidTr="000A0C6A">
        <w:trPr>
          <w:trHeight w:val="2074"/>
        </w:trPr>
        <w:tc>
          <w:tcPr>
            <w:tcW w:w="9695" w:type="dxa"/>
            <w:gridSpan w:val="6"/>
            <w:tcBorders>
              <w:top w:val="single" w:sz="4" w:space="0" w:color="auto"/>
              <w:left w:val="single" w:sz="4" w:space="0" w:color="auto"/>
              <w:bottom w:val="single" w:sz="4" w:space="0" w:color="auto"/>
              <w:right w:val="single" w:sz="4" w:space="0" w:color="auto"/>
            </w:tcBorders>
          </w:tcPr>
          <w:p w14:paraId="6233C279" w14:textId="77777777" w:rsidR="00967A8B" w:rsidRPr="009854B1" w:rsidRDefault="00967A8B" w:rsidP="00967A8B">
            <w:pPr>
              <w:pStyle w:val="Odstavekseznama"/>
              <w:numPr>
                <w:ilvl w:val="0"/>
                <w:numId w:val="2"/>
              </w:numPr>
              <w:rPr>
                <w:rFonts w:asciiTheme="minorHAnsi" w:hAnsiTheme="minorHAnsi" w:cstheme="minorHAnsi"/>
              </w:rPr>
            </w:pPr>
            <w:r w:rsidRPr="009854B1">
              <w:rPr>
                <w:rFonts w:asciiTheme="minorHAnsi" w:hAnsiTheme="minorHAnsi" w:cstheme="minorHAnsi"/>
              </w:rPr>
              <w:t>Andrej Savin, EU Internet Law (2nd ed.), E. Elgar 2017</w:t>
            </w:r>
          </w:p>
          <w:p w14:paraId="48759722" w14:textId="76B894F7" w:rsidR="00967A8B" w:rsidRPr="009854B1" w:rsidRDefault="00967A8B" w:rsidP="00967A8B">
            <w:pPr>
              <w:pStyle w:val="Odstavekseznama"/>
              <w:numPr>
                <w:ilvl w:val="0"/>
                <w:numId w:val="2"/>
              </w:numPr>
              <w:rPr>
                <w:rFonts w:asciiTheme="minorHAnsi" w:hAnsiTheme="minorHAnsi" w:cstheme="minorHAnsi"/>
              </w:rPr>
            </w:pPr>
            <w:r w:rsidRPr="009854B1">
              <w:rPr>
                <w:rFonts w:asciiTheme="minorHAnsi" w:hAnsiTheme="minorHAnsi" w:cstheme="minorHAnsi"/>
              </w:rPr>
              <w:t>Andrew Murray, Information Technology Law: The Law and Society, Oxford University Press 2019.</w:t>
            </w:r>
          </w:p>
          <w:p w14:paraId="3728913E" w14:textId="64FFE809" w:rsidR="00530435" w:rsidRPr="009854B1" w:rsidRDefault="00530435" w:rsidP="00530435">
            <w:pPr>
              <w:pStyle w:val="Odstavekseznama"/>
              <w:numPr>
                <w:ilvl w:val="0"/>
                <w:numId w:val="2"/>
              </w:numPr>
              <w:rPr>
                <w:rFonts w:asciiTheme="minorHAnsi" w:hAnsiTheme="minorHAnsi" w:cstheme="minorHAnsi"/>
              </w:rPr>
            </w:pPr>
            <w:r w:rsidRPr="009854B1">
              <w:rPr>
                <w:rFonts w:asciiTheme="minorHAnsi" w:hAnsiTheme="minorHAnsi" w:cstheme="minorHAnsi"/>
              </w:rPr>
              <w:t>Michael H. Goldhaber, The Attention Economy: The Natural Economy of the Ne</w:t>
            </w:r>
            <w:r w:rsidRPr="009854B1">
              <w:rPr>
                <w:rFonts w:asciiTheme="minorHAnsi" w:hAnsiTheme="minorHAnsi" w:cstheme="minorHAnsi"/>
                <w:i/>
                <w:iCs/>
              </w:rPr>
              <w:t>t</w:t>
            </w:r>
            <w:r w:rsidRPr="009854B1">
              <w:rPr>
                <w:rFonts w:asciiTheme="minorHAnsi" w:hAnsiTheme="minorHAnsi" w:cstheme="minorHAnsi"/>
              </w:rPr>
              <w:t>, First Monday, April 1997</w:t>
            </w:r>
          </w:p>
          <w:p w14:paraId="293FD2AC" w14:textId="09D2F7B5" w:rsidR="00530435" w:rsidRPr="009854B1" w:rsidRDefault="00530435" w:rsidP="00530435">
            <w:pPr>
              <w:pStyle w:val="Odstavekseznama"/>
              <w:numPr>
                <w:ilvl w:val="0"/>
                <w:numId w:val="2"/>
              </w:numPr>
              <w:rPr>
                <w:rFonts w:asciiTheme="minorHAnsi" w:hAnsiTheme="minorHAnsi" w:cstheme="minorHAnsi"/>
              </w:rPr>
            </w:pPr>
            <w:r w:rsidRPr="009854B1">
              <w:rPr>
                <w:rFonts w:asciiTheme="minorHAnsi" w:hAnsiTheme="minorHAnsi" w:cstheme="minorHAnsi"/>
              </w:rPr>
              <w:t>Rishab Aiyer Ghosh, Economics is dead. Long live economics!, First Monday, May 1997</w:t>
            </w:r>
          </w:p>
          <w:p w14:paraId="2093ADFB" w14:textId="77777777" w:rsidR="007153BD" w:rsidRPr="009854B1" w:rsidRDefault="00530435" w:rsidP="00530435">
            <w:pPr>
              <w:pStyle w:val="Odstavekseznama"/>
              <w:numPr>
                <w:ilvl w:val="0"/>
                <w:numId w:val="2"/>
              </w:numPr>
              <w:rPr>
                <w:rFonts w:asciiTheme="minorHAnsi" w:hAnsiTheme="minorHAnsi" w:cstheme="minorHAnsi"/>
              </w:rPr>
            </w:pPr>
            <w:r w:rsidRPr="009854B1">
              <w:rPr>
                <w:rFonts w:asciiTheme="minorHAnsi" w:hAnsiTheme="minorHAnsi" w:cstheme="minorHAnsi"/>
              </w:rPr>
              <w:t>Philippe Aigrain, Attention, Media, Value and Economics, First Monday, September 1997</w:t>
            </w:r>
          </w:p>
          <w:p w14:paraId="0EB1BC62" w14:textId="4A303774" w:rsidR="00530435" w:rsidRPr="009854B1" w:rsidRDefault="00530435" w:rsidP="00530435">
            <w:pPr>
              <w:pStyle w:val="Odstavekseznama"/>
              <w:numPr>
                <w:ilvl w:val="0"/>
                <w:numId w:val="2"/>
              </w:numPr>
              <w:rPr>
                <w:rFonts w:asciiTheme="minorHAnsi" w:hAnsiTheme="minorHAnsi" w:cstheme="minorHAnsi"/>
              </w:rPr>
            </w:pPr>
            <w:r w:rsidRPr="009854B1">
              <w:rPr>
                <w:rFonts w:asciiTheme="minorHAnsi" w:hAnsiTheme="minorHAnsi" w:cstheme="minorHAnsi"/>
              </w:rPr>
              <w:t>Eben Moglen, </w:t>
            </w:r>
            <w:r w:rsidRPr="004617F0">
              <w:rPr>
                <w:rFonts w:asciiTheme="minorHAnsi" w:hAnsiTheme="minorHAnsi" w:cstheme="minorHAnsi"/>
              </w:rPr>
              <w:t>Freedom In The Cloud</w:t>
            </w:r>
            <w:r w:rsidRPr="009854B1">
              <w:rPr>
                <w:rFonts w:asciiTheme="minorHAnsi" w:hAnsiTheme="minorHAnsi" w:cstheme="minorHAnsi"/>
              </w:rPr>
              <w:t>, Internet Society of NY, February 5, 2010</w:t>
            </w:r>
          </w:p>
          <w:p w14:paraId="7CD035A9" w14:textId="53BF28D8" w:rsidR="00530435" w:rsidRPr="009854B1" w:rsidRDefault="00530435" w:rsidP="00530435">
            <w:pPr>
              <w:pStyle w:val="Odstavekseznama"/>
              <w:numPr>
                <w:ilvl w:val="0"/>
                <w:numId w:val="2"/>
              </w:numPr>
              <w:rPr>
                <w:rFonts w:asciiTheme="minorHAnsi" w:hAnsiTheme="minorHAnsi" w:cstheme="minorHAnsi"/>
              </w:rPr>
            </w:pPr>
            <w:r w:rsidRPr="009854B1">
              <w:rPr>
                <w:rFonts w:asciiTheme="minorHAnsi" w:hAnsiTheme="minorHAnsi" w:cstheme="minorHAnsi"/>
              </w:rPr>
              <w:t>Eben Moglen, </w:t>
            </w:r>
            <w:r w:rsidRPr="004617F0">
              <w:rPr>
                <w:rFonts w:asciiTheme="minorHAnsi" w:hAnsiTheme="minorHAnsi" w:cstheme="minorHAnsi"/>
              </w:rPr>
              <w:t>Anarchism Triumphant: Free Software and the Death of Copyright</w:t>
            </w:r>
            <w:r w:rsidRPr="009854B1">
              <w:rPr>
                <w:rFonts w:asciiTheme="minorHAnsi" w:hAnsiTheme="minorHAnsi" w:cstheme="minorHAnsi"/>
              </w:rPr>
              <w:t>, First Monday, August 1999</w:t>
            </w:r>
          </w:p>
          <w:p w14:paraId="62E4AD0E" w14:textId="2237AEFC" w:rsidR="00530435" w:rsidRPr="009854B1" w:rsidRDefault="00530435" w:rsidP="00967A8B">
            <w:pPr>
              <w:pStyle w:val="Odstavekseznama"/>
              <w:numPr>
                <w:ilvl w:val="0"/>
                <w:numId w:val="2"/>
              </w:numPr>
              <w:rPr>
                <w:rFonts w:asciiTheme="minorHAnsi" w:hAnsiTheme="minorHAnsi" w:cstheme="minorHAnsi"/>
              </w:rPr>
            </w:pPr>
            <w:r w:rsidRPr="009854B1">
              <w:rPr>
                <w:rFonts w:asciiTheme="minorHAnsi" w:hAnsiTheme="minorHAnsi" w:cstheme="minorHAnsi"/>
              </w:rPr>
              <w:t>Quintais, J., The New Copyright in the Digital Single Market Directive: A Critical Look</w:t>
            </w:r>
            <w:r w:rsidR="00967A8B" w:rsidRPr="009854B1">
              <w:rPr>
                <w:rFonts w:asciiTheme="minorHAnsi" w:hAnsiTheme="minorHAnsi" w:cstheme="minorHAnsi"/>
              </w:rPr>
              <w:t xml:space="preserve">, </w:t>
            </w:r>
            <w:r w:rsidRPr="009854B1">
              <w:rPr>
                <w:rFonts w:asciiTheme="minorHAnsi" w:hAnsiTheme="minorHAnsi" w:cstheme="minorHAnsi"/>
              </w:rPr>
              <w:t xml:space="preserve">European Intellectual Property Review, 42 (1), </w:t>
            </w:r>
            <w:r w:rsidR="00967A8B" w:rsidRPr="009854B1">
              <w:rPr>
                <w:rFonts w:asciiTheme="minorHAnsi" w:hAnsiTheme="minorHAnsi" w:cstheme="minorHAnsi"/>
              </w:rPr>
              <w:t>str</w:t>
            </w:r>
            <w:r w:rsidRPr="009854B1">
              <w:rPr>
                <w:rFonts w:asciiTheme="minorHAnsi" w:hAnsiTheme="minorHAnsi" w:cstheme="minorHAnsi"/>
              </w:rPr>
              <w:t>. 28-41, 2020.</w:t>
            </w:r>
          </w:p>
          <w:p w14:paraId="4D40B8B6" w14:textId="707BE613" w:rsidR="00967A8B" w:rsidRPr="009854B1" w:rsidRDefault="00967A8B" w:rsidP="00967A8B">
            <w:pPr>
              <w:rPr>
                <w:rFonts w:asciiTheme="minorHAnsi" w:hAnsiTheme="minorHAnsi" w:cstheme="minorHAnsi"/>
              </w:rPr>
            </w:pPr>
          </w:p>
          <w:p w14:paraId="5C3658A4" w14:textId="08934254" w:rsidR="00967A8B" w:rsidRPr="009854B1" w:rsidRDefault="00967A8B" w:rsidP="00967A8B">
            <w:pPr>
              <w:rPr>
                <w:rFonts w:asciiTheme="minorHAnsi" w:hAnsiTheme="minorHAnsi" w:cstheme="minorHAnsi"/>
              </w:rPr>
            </w:pPr>
            <w:r w:rsidRPr="009854B1">
              <w:rPr>
                <w:rFonts w:asciiTheme="minorHAnsi" w:hAnsiTheme="minorHAnsi" w:cstheme="minorHAnsi"/>
              </w:rPr>
              <w:t>Dodatna literatura bo slušateljem/icam glede na aktualnost materije sporočena na predavanjih.</w:t>
            </w:r>
          </w:p>
          <w:p w14:paraId="57EB335A" w14:textId="31456003" w:rsidR="00530435" w:rsidRPr="009854B1" w:rsidRDefault="00530435" w:rsidP="00967A8B">
            <w:pPr>
              <w:rPr>
                <w:rFonts w:asciiTheme="minorHAnsi" w:hAnsiTheme="minorHAnsi" w:cstheme="minorHAnsi"/>
              </w:rPr>
            </w:pPr>
            <w:r w:rsidRPr="009854B1">
              <w:rPr>
                <w:rFonts w:asciiTheme="minorHAnsi" w:hAnsiTheme="minorHAnsi" w:cstheme="minorHAnsi"/>
              </w:rPr>
              <w:t xml:space="preserve"> </w:t>
            </w:r>
          </w:p>
        </w:tc>
      </w:tr>
      <w:tr w:rsidR="007153BD" w:rsidRPr="009854B1" w14:paraId="760BCFEE" w14:textId="77777777" w:rsidTr="000A0C6A">
        <w:trPr>
          <w:trHeight w:val="73"/>
        </w:trPr>
        <w:tc>
          <w:tcPr>
            <w:tcW w:w="4720" w:type="dxa"/>
            <w:gridSpan w:val="2"/>
            <w:tcBorders>
              <w:top w:val="nil"/>
              <w:left w:val="nil"/>
              <w:bottom w:val="single" w:sz="4" w:space="0" w:color="auto"/>
              <w:right w:val="nil"/>
            </w:tcBorders>
          </w:tcPr>
          <w:p w14:paraId="1A494E96" w14:textId="77777777" w:rsidR="007153BD" w:rsidRPr="009854B1" w:rsidRDefault="007153BD" w:rsidP="000A0C6A">
            <w:pPr>
              <w:rPr>
                <w:rFonts w:asciiTheme="minorHAnsi" w:hAnsiTheme="minorHAnsi" w:cstheme="minorHAnsi"/>
                <w:b/>
                <w:bCs/>
              </w:rPr>
            </w:pPr>
          </w:p>
          <w:p w14:paraId="095880AD" w14:textId="77777777" w:rsidR="007153BD" w:rsidRPr="009854B1" w:rsidRDefault="007153BD" w:rsidP="000A0C6A">
            <w:pPr>
              <w:rPr>
                <w:rFonts w:asciiTheme="minorHAnsi" w:hAnsiTheme="minorHAnsi" w:cstheme="minorHAnsi"/>
                <w:b/>
              </w:rPr>
            </w:pPr>
            <w:r w:rsidRPr="009854B1">
              <w:rPr>
                <w:rFonts w:asciiTheme="minorHAnsi" w:hAnsiTheme="minorHAnsi" w:cstheme="minorHAnsi"/>
                <w:b/>
              </w:rPr>
              <w:t>Cilji in kompetence:</w:t>
            </w:r>
          </w:p>
        </w:tc>
        <w:tc>
          <w:tcPr>
            <w:tcW w:w="152" w:type="dxa"/>
            <w:gridSpan w:val="2"/>
          </w:tcPr>
          <w:p w14:paraId="234D1875" w14:textId="77777777" w:rsidR="007153BD" w:rsidRPr="009854B1" w:rsidRDefault="007153BD" w:rsidP="000A0C6A">
            <w:pPr>
              <w:rPr>
                <w:rFonts w:asciiTheme="minorHAnsi" w:hAnsiTheme="minorHAnsi" w:cstheme="minorHAnsi"/>
                <w:b/>
              </w:rPr>
            </w:pPr>
          </w:p>
        </w:tc>
        <w:tc>
          <w:tcPr>
            <w:tcW w:w="4823" w:type="dxa"/>
            <w:gridSpan w:val="2"/>
            <w:tcBorders>
              <w:top w:val="nil"/>
              <w:left w:val="nil"/>
              <w:bottom w:val="single" w:sz="4" w:space="0" w:color="auto"/>
              <w:right w:val="nil"/>
            </w:tcBorders>
          </w:tcPr>
          <w:p w14:paraId="5FB00F67" w14:textId="77777777" w:rsidR="007153BD" w:rsidRPr="009854B1" w:rsidRDefault="007153BD" w:rsidP="000A0C6A">
            <w:pPr>
              <w:rPr>
                <w:rFonts w:asciiTheme="minorHAnsi" w:hAnsiTheme="minorHAnsi" w:cstheme="minorHAnsi"/>
                <w:b/>
              </w:rPr>
            </w:pPr>
          </w:p>
          <w:p w14:paraId="004BC687" w14:textId="77777777" w:rsidR="007153BD" w:rsidRPr="009854B1" w:rsidRDefault="007153BD" w:rsidP="000A0C6A">
            <w:pPr>
              <w:rPr>
                <w:rFonts w:asciiTheme="minorHAnsi" w:hAnsiTheme="minorHAnsi" w:cstheme="minorHAnsi"/>
                <w:b/>
              </w:rPr>
            </w:pPr>
            <w:r w:rsidRPr="009854B1">
              <w:rPr>
                <w:rFonts w:asciiTheme="minorHAnsi" w:hAnsiTheme="minorHAnsi" w:cstheme="minorHAnsi"/>
                <w:b/>
                <w:lang w:val="en-GB"/>
              </w:rPr>
              <w:t>Objectives and competences</w:t>
            </w:r>
            <w:r w:rsidRPr="009854B1">
              <w:rPr>
                <w:rFonts w:asciiTheme="minorHAnsi" w:hAnsiTheme="minorHAnsi" w:cstheme="minorHAnsi"/>
                <w:b/>
              </w:rPr>
              <w:t>:</w:t>
            </w:r>
          </w:p>
        </w:tc>
      </w:tr>
      <w:tr w:rsidR="007153BD" w:rsidRPr="009854B1" w14:paraId="16440E49" w14:textId="77777777" w:rsidTr="000A0C6A">
        <w:trPr>
          <w:trHeight w:val="1838"/>
        </w:trPr>
        <w:tc>
          <w:tcPr>
            <w:tcW w:w="4720" w:type="dxa"/>
            <w:gridSpan w:val="2"/>
            <w:tcBorders>
              <w:top w:val="single" w:sz="4" w:space="0" w:color="auto"/>
              <w:left w:val="single" w:sz="4" w:space="0" w:color="auto"/>
              <w:bottom w:val="single" w:sz="4" w:space="0" w:color="auto"/>
              <w:right w:val="single" w:sz="4" w:space="0" w:color="auto"/>
            </w:tcBorders>
          </w:tcPr>
          <w:p w14:paraId="3E34C1B8" w14:textId="5A605646" w:rsidR="00060E11" w:rsidRPr="009854B1" w:rsidRDefault="00DF6A3C" w:rsidP="00E8017E">
            <w:pPr>
              <w:rPr>
                <w:rFonts w:asciiTheme="minorHAnsi" w:hAnsiTheme="minorHAnsi" w:cstheme="minorHAnsi"/>
              </w:rPr>
            </w:pPr>
            <w:r w:rsidRPr="009854B1">
              <w:rPr>
                <w:rFonts w:asciiTheme="minorHAnsi" w:hAnsiTheme="minorHAnsi" w:cstheme="minorHAnsi"/>
              </w:rPr>
              <w:t>Cilj predmeta je slušatelju ponuditi specifična teoretična znanja s koneksnih točk področij</w:t>
            </w:r>
            <w:r w:rsidR="00800BFD" w:rsidRPr="009854B1">
              <w:rPr>
                <w:rFonts w:asciiTheme="minorHAnsi" w:hAnsiTheme="minorHAnsi" w:cstheme="minorHAnsi"/>
              </w:rPr>
              <w:t xml:space="preserve"> (civilnega)</w:t>
            </w:r>
            <w:r w:rsidRPr="009854B1">
              <w:rPr>
                <w:rFonts w:asciiTheme="minorHAnsi" w:hAnsiTheme="minorHAnsi" w:cstheme="minorHAnsi"/>
              </w:rPr>
              <w:t xml:space="preserve"> prava in interneta, ki po naravi niso zajeti v siceršnjih študijskih programih predmetov  Pravne fakultete. Študenti pridobijo uvid v specifično naravo interneta in posledično posebno pravno regulacijo področja.  </w:t>
            </w:r>
          </w:p>
          <w:p w14:paraId="08F8730F" w14:textId="77777777" w:rsidR="00060E11" w:rsidRPr="009854B1" w:rsidRDefault="00060E11" w:rsidP="00E8017E">
            <w:pPr>
              <w:rPr>
                <w:rFonts w:asciiTheme="minorHAnsi" w:hAnsiTheme="minorHAnsi" w:cstheme="minorHAnsi"/>
              </w:rPr>
            </w:pPr>
          </w:p>
          <w:p w14:paraId="3E62B74E" w14:textId="77777777" w:rsidR="007153BD" w:rsidRPr="009854B1" w:rsidRDefault="007153BD" w:rsidP="00A55480">
            <w:pPr>
              <w:rPr>
                <w:rFonts w:asciiTheme="minorHAnsi" w:hAnsiTheme="minorHAnsi" w:cstheme="minorHAnsi"/>
              </w:rPr>
            </w:pPr>
          </w:p>
        </w:tc>
        <w:tc>
          <w:tcPr>
            <w:tcW w:w="152" w:type="dxa"/>
            <w:gridSpan w:val="2"/>
            <w:tcBorders>
              <w:top w:val="nil"/>
              <w:left w:val="single" w:sz="4" w:space="0" w:color="auto"/>
              <w:bottom w:val="nil"/>
              <w:right w:val="single" w:sz="4" w:space="0" w:color="auto"/>
            </w:tcBorders>
          </w:tcPr>
          <w:p w14:paraId="6C1EEF4B" w14:textId="77777777" w:rsidR="007153BD" w:rsidRPr="009854B1" w:rsidRDefault="007153BD" w:rsidP="000A0C6A">
            <w:pPr>
              <w:rPr>
                <w:rFonts w:asciiTheme="minorHAnsi" w:hAnsiTheme="minorHAnsi" w:cstheme="minorHAnsi"/>
                <w:b/>
              </w:rPr>
            </w:pPr>
          </w:p>
        </w:tc>
        <w:tc>
          <w:tcPr>
            <w:tcW w:w="4823" w:type="dxa"/>
            <w:gridSpan w:val="2"/>
            <w:tcBorders>
              <w:top w:val="single" w:sz="4" w:space="0" w:color="auto"/>
              <w:left w:val="single" w:sz="4" w:space="0" w:color="auto"/>
              <w:bottom w:val="single" w:sz="4" w:space="0" w:color="auto"/>
              <w:right w:val="single" w:sz="4" w:space="0" w:color="auto"/>
            </w:tcBorders>
          </w:tcPr>
          <w:p w14:paraId="79CF06C8" w14:textId="77777777" w:rsidR="007153BD" w:rsidRPr="009854B1" w:rsidRDefault="007153BD" w:rsidP="000A0C6A">
            <w:pPr>
              <w:rPr>
                <w:rFonts w:asciiTheme="minorHAnsi" w:hAnsiTheme="minorHAnsi" w:cstheme="minorHAnsi"/>
              </w:rPr>
            </w:pPr>
          </w:p>
        </w:tc>
      </w:tr>
      <w:tr w:rsidR="007153BD" w:rsidRPr="009854B1" w14:paraId="2E8472D5" w14:textId="77777777" w:rsidTr="000A0C6A">
        <w:trPr>
          <w:trHeight w:val="117"/>
        </w:trPr>
        <w:tc>
          <w:tcPr>
            <w:tcW w:w="4730" w:type="dxa"/>
            <w:gridSpan w:val="3"/>
            <w:tcBorders>
              <w:top w:val="nil"/>
              <w:left w:val="nil"/>
              <w:bottom w:val="single" w:sz="4" w:space="0" w:color="auto"/>
              <w:right w:val="nil"/>
            </w:tcBorders>
          </w:tcPr>
          <w:p w14:paraId="4BE4C216" w14:textId="77777777" w:rsidR="007153BD" w:rsidRPr="009854B1" w:rsidRDefault="007153BD" w:rsidP="000A0C6A">
            <w:pPr>
              <w:rPr>
                <w:rFonts w:asciiTheme="minorHAnsi" w:hAnsiTheme="minorHAnsi" w:cstheme="minorHAnsi"/>
                <w:b/>
              </w:rPr>
            </w:pPr>
          </w:p>
          <w:p w14:paraId="21F6AF58" w14:textId="77777777" w:rsidR="007153BD" w:rsidRPr="009854B1" w:rsidRDefault="007153BD" w:rsidP="000A0C6A">
            <w:pPr>
              <w:rPr>
                <w:rFonts w:asciiTheme="minorHAnsi" w:hAnsiTheme="minorHAnsi" w:cstheme="minorHAnsi"/>
                <w:b/>
              </w:rPr>
            </w:pPr>
            <w:r w:rsidRPr="009854B1">
              <w:rPr>
                <w:rFonts w:asciiTheme="minorHAnsi" w:hAnsiTheme="minorHAnsi" w:cstheme="minorHAnsi"/>
                <w:b/>
              </w:rPr>
              <w:t>Predvideni študijski rezultati:</w:t>
            </w:r>
          </w:p>
        </w:tc>
        <w:tc>
          <w:tcPr>
            <w:tcW w:w="142" w:type="dxa"/>
          </w:tcPr>
          <w:p w14:paraId="0FB18549" w14:textId="77777777" w:rsidR="007153BD" w:rsidRPr="009854B1" w:rsidRDefault="007153BD" w:rsidP="000A0C6A">
            <w:pPr>
              <w:rPr>
                <w:rFonts w:asciiTheme="minorHAnsi" w:hAnsiTheme="minorHAnsi" w:cstheme="minorHAnsi"/>
                <w:b/>
              </w:rPr>
            </w:pPr>
          </w:p>
          <w:p w14:paraId="2852EB7B" w14:textId="77777777" w:rsidR="007153BD" w:rsidRPr="009854B1" w:rsidRDefault="007153BD" w:rsidP="000A0C6A">
            <w:pPr>
              <w:rPr>
                <w:rFonts w:asciiTheme="minorHAnsi" w:hAnsiTheme="minorHAnsi" w:cstheme="minorHAnsi"/>
                <w:b/>
              </w:rPr>
            </w:pPr>
          </w:p>
        </w:tc>
        <w:tc>
          <w:tcPr>
            <w:tcW w:w="4823" w:type="dxa"/>
            <w:gridSpan w:val="2"/>
            <w:tcBorders>
              <w:top w:val="nil"/>
              <w:left w:val="nil"/>
              <w:bottom w:val="single" w:sz="4" w:space="0" w:color="auto"/>
              <w:right w:val="nil"/>
            </w:tcBorders>
          </w:tcPr>
          <w:p w14:paraId="10209CBC" w14:textId="77777777" w:rsidR="007153BD" w:rsidRPr="009854B1" w:rsidRDefault="007153BD" w:rsidP="000A0C6A">
            <w:pPr>
              <w:rPr>
                <w:rFonts w:asciiTheme="minorHAnsi" w:hAnsiTheme="minorHAnsi" w:cstheme="minorHAnsi"/>
                <w:b/>
              </w:rPr>
            </w:pPr>
          </w:p>
          <w:p w14:paraId="4E29A3F9" w14:textId="77777777" w:rsidR="007153BD" w:rsidRPr="009854B1" w:rsidRDefault="007153BD" w:rsidP="000A0C6A">
            <w:pPr>
              <w:rPr>
                <w:rFonts w:asciiTheme="minorHAnsi" w:hAnsiTheme="minorHAnsi" w:cstheme="minorHAnsi"/>
                <w:b/>
              </w:rPr>
            </w:pPr>
            <w:r w:rsidRPr="009854B1">
              <w:rPr>
                <w:rFonts w:asciiTheme="minorHAnsi" w:hAnsiTheme="minorHAnsi" w:cstheme="minorHAnsi"/>
                <w:b/>
              </w:rPr>
              <w:t>Intended learning outcomes:</w:t>
            </w:r>
          </w:p>
        </w:tc>
      </w:tr>
      <w:tr w:rsidR="007153BD" w:rsidRPr="009854B1" w14:paraId="6805B6F1" w14:textId="77777777" w:rsidTr="000A0C6A">
        <w:trPr>
          <w:trHeight w:val="1387"/>
        </w:trPr>
        <w:tc>
          <w:tcPr>
            <w:tcW w:w="4730" w:type="dxa"/>
            <w:gridSpan w:val="3"/>
            <w:tcBorders>
              <w:top w:val="single" w:sz="4" w:space="0" w:color="auto"/>
              <w:left w:val="single" w:sz="4" w:space="0" w:color="auto"/>
              <w:bottom w:val="nil"/>
              <w:right w:val="single" w:sz="4" w:space="0" w:color="auto"/>
            </w:tcBorders>
          </w:tcPr>
          <w:p w14:paraId="2A361405" w14:textId="17E5750A" w:rsidR="007153BD" w:rsidRPr="009854B1" w:rsidRDefault="00DF6A3C" w:rsidP="00A55480">
            <w:pPr>
              <w:rPr>
                <w:rFonts w:asciiTheme="minorHAnsi" w:hAnsiTheme="minorHAnsi" w:cstheme="minorHAnsi"/>
              </w:rPr>
            </w:pPr>
            <w:r w:rsidRPr="009854B1">
              <w:rPr>
                <w:rFonts w:asciiTheme="minorHAnsi" w:hAnsiTheme="minorHAnsi" w:cstheme="minorHAnsi"/>
              </w:rPr>
              <w:lastRenderedPageBreak/>
              <w:t>Študent pridobi osnovno znanje o delovanju</w:t>
            </w:r>
            <w:r w:rsidR="00AB34AF" w:rsidRPr="009854B1">
              <w:rPr>
                <w:rFonts w:asciiTheme="minorHAnsi" w:hAnsiTheme="minorHAnsi" w:cstheme="minorHAnsi"/>
              </w:rPr>
              <w:t xml:space="preserve"> in posebnostih interneta</w:t>
            </w:r>
            <w:r w:rsidRPr="009854B1">
              <w:rPr>
                <w:rFonts w:asciiTheme="minorHAnsi" w:hAnsiTheme="minorHAnsi" w:cstheme="minorHAnsi"/>
              </w:rPr>
              <w:t xml:space="preserve">, razlogih za </w:t>
            </w:r>
            <w:r w:rsidR="00AB34AF" w:rsidRPr="009854B1">
              <w:rPr>
                <w:rFonts w:asciiTheme="minorHAnsi" w:hAnsiTheme="minorHAnsi" w:cstheme="minorHAnsi"/>
              </w:rPr>
              <w:t>njegovo</w:t>
            </w:r>
            <w:r w:rsidRPr="009854B1">
              <w:rPr>
                <w:rFonts w:asciiTheme="minorHAnsi" w:hAnsiTheme="minorHAnsi" w:cstheme="minorHAnsi"/>
              </w:rPr>
              <w:t xml:space="preserve"> regulacijo, pravnih institutih, sistemih in institucijah nadzora, odstopu od klasične ureditve trga, substančnih in postopkovnih posebnostih. Predmet študenta opremi s temeljnim deskriptivnim znanjem in analitskimi mehanizmi in sposobnostmi. Študent osvoji vrsto izbranih tem in področij. Pridobljeno pravno znanje je neposredno uporabno, saj mora pravnik pri svojem delu poznati gospodarsko okolje. Pravno znanje je neposredno uporabno, ker so temeljno in analitično obdelani instituti in vsebinski sklopi, ki </w:t>
            </w:r>
            <w:r w:rsidR="00E50322" w:rsidRPr="009854B1">
              <w:rPr>
                <w:rFonts w:asciiTheme="minorHAnsi" w:hAnsiTheme="minorHAnsi" w:cstheme="minorHAnsi"/>
              </w:rPr>
              <w:t>predstavljajo</w:t>
            </w:r>
            <w:r w:rsidRPr="009854B1">
              <w:rPr>
                <w:rFonts w:asciiTheme="minorHAnsi" w:hAnsiTheme="minorHAnsi" w:cstheme="minorHAnsi"/>
              </w:rPr>
              <w:t xml:space="preserve"> instrumentarij</w:t>
            </w:r>
            <w:r w:rsidR="00E50322" w:rsidRPr="009854B1">
              <w:rPr>
                <w:rFonts w:asciiTheme="minorHAnsi" w:hAnsiTheme="minorHAnsi" w:cstheme="minorHAnsi"/>
              </w:rPr>
              <w:t>, uporaben tudi v praksi.</w:t>
            </w:r>
          </w:p>
        </w:tc>
        <w:tc>
          <w:tcPr>
            <w:tcW w:w="142" w:type="dxa"/>
            <w:tcBorders>
              <w:top w:val="nil"/>
              <w:left w:val="single" w:sz="4" w:space="0" w:color="auto"/>
              <w:bottom w:val="nil"/>
              <w:right w:val="single" w:sz="4" w:space="0" w:color="auto"/>
            </w:tcBorders>
          </w:tcPr>
          <w:p w14:paraId="77AAD7F5" w14:textId="77777777" w:rsidR="007153BD" w:rsidRPr="009854B1" w:rsidRDefault="007153BD" w:rsidP="000A0C6A">
            <w:pPr>
              <w:rPr>
                <w:rFonts w:asciiTheme="minorHAnsi" w:hAnsiTheme="minorHAnsi" w:cstheme="minorHAnsi"/>
              </w:rPr>
            </w:pPr>
          </w:p>
          <w:p w14:paraId="702BD187" w14:textId="77777777" w:rsidR="007153BD" w:rsidRPr="009854B1" w:rsidRDefault="007153BD" w:rsidP="000A0C6A">
            <w:pPr>
              <w:rPr>
                <w:rFonts w:asciiTheme="minorHAnsi" w:hAnsiTheme="minorHAnsi" w:cstheme="minorHAnsi"/>
              </w:rPr>
            </w:pPr>
          </w:p>
          <w:p w14:paraId="5C122E3D" w14:textId="77777777" w:rsidR="007153BD" w:rsidRPr="009854B1" w:rsidRDefault="007153BD" w:rsidP="000A0C6A">
            <w:pPr>
              <w:rPr>
                <w:rFonts w:asciiTheme="minorHAnsi" w:hAnsiTheme="minorHAnsi" w:cstheme="minorHAnsi"/>
              </w:rPr>
            </w:pPr>
          </w:p>
        </w:tc>
        <w:tc>
          <w:tcPr>
            <w:tcW w:w="4823" w:type="dxa"/>
            <w:gridSpan w:val="2"/>
            <w:tcBorders>
              <w:top w:val="single" w:sz="4" w:space="0" w:color="auto"/>
              <w:left w:val="single" w:sz="4" w:space="0" w:color="auto"/>
              <w:bottom w:val="nil"/>
              <w:right w:val="single" w:sz="4" w:space="0" w:color="auto"/>
            </w:tcBorders>
          </w:tcPr>
          <w:p w14:paraId="4084C04A" w14:textId="77777777" w:rsidR="007153BD" w:rsidRPr="009854B1" w:rsidRDefault="007153BD" w:rsidP="000A0C6A">
            <w:pPr>
              <w:rPr>
                <w:rFonts w:asciiTheme="minorHAnsi" w:hAnsiTheme="minorHAnsi" w:cstheme="minorHAnsi"/>
              </w:rPr>
            </w:pPr>
          </w:p>
          <w:p w14:paraId="3FD1A076" w14:textId="77777777" w:rsidR="007153BD" w:rsidRPr="009854B1" w:rsidRDefault="007153BD" w:rsidP="000A0C6A">
            <w:pPr>
              <w:rPr>
                <w:rFonts w:asciiTheme="minorHAnsi" w:hAnsiTheme="minorHAnsi" w:cstheme="minorHAnsi"/>
              </w:rPr>
            </w:pPr>
          </w:p>
        </w:tc>
      </w:tr>
      <w:tr w:rsidR="007153BD" w:rsidRPr="009854B1" w14:paraId="2853B5BA" w14:textId="77777777" w:rsidTr="000A0C6A">
        <w:trPr>
          <w:trHeight w:val="1417"/>
        </w:trPr>
        <w:tc>
          <w:tcPr>
            <w:tcW w:w="4730" w:type="dxa"/>
            <w:gridSpan w:val="3"/>
            <w:tcBorders>
              <w:top w:val="nil"/>
              <w:left w:val="single" w:sz="4" w:space="0" w:color="auto"/>
              <w:bottom w:val="single" w:sz="4" w:space="0" w:color="auto"/>
              <w:right w:val="single" w:sz="4" w:space="0" w:color="auto"/>
            </w:tcBorders>
          </w:tcPr>
          <w:p w14:paraId="3E4820DB" w14:textId="77777777" w:rsidR="007153BD" w:rsidRPr="009854B1" w:rsidRDefault="007153BD" w:rsidP="00E8017E">
            <w:pPr>
              <w:rPr>
                <w:rFonts w:asciiTheme="minorHAnsi" w:hAnsiTheme="minorHAnsi" w:cstheme="minorHAnsi"/>
              </w:rPr>
            </w:pPr>
          </w:p>
        </w:tc>
        <w:tc>
          <w:tcPr>
            <w:tcW w:w="142" w:type="dxa"/>
            <w:tcBorders>
              <w:top w:val="nil"/>
              <w:left w:val="single" w:sz="4" w:space="0" w:color="auto"/>
              <w:bottom w:val="nil"/>
              <w:right w:val="single" w:sz="4" w:space="0" w:color="auto"/>
            </w:tcBorders>
          </w:tcPr>
          <w:p w14:paraId="70213B36" w14:textId="77777777" w:rsidR="007153BD" w:rsidRPr="009854B1" w:rsidRDefault="007153BD" w:rsidP="000A0C6A">
            <w:pPr>
              <w:rPr>
                <w:rFonts w:asciiTheme="minorHAnsi" w:hAnsiTheme="minorHAnsi" w:cstheme="minorHAnsi"/>
                <w:b/>
              </w:rPr>
            </w:pPr>
          </w:p>
        </w:tc>
        <w:tc>
          <w:tcPr>
            <w:tcW w:w="4823" w:type="dxa"/>
            <w:gridSpan w:val="2"/>
            <w:tcBorders>
              <w:top w:val="nil"/>
              <w:left w:val="single" w:sz="4" w:space="0" w:color="auto"/>
              <w:bottom w:val="single" w:sz="4" w:space="0" w:color="auto"/>
              <w:right w:val="single" w:sz="4" w:space="0" w:color="auto"/>
            </w:tcBorders>
          </w:tcPr>
          <w:p w14:paraId="45E975A9" w14:textId="77777777" w:rsidR="007153BD" w:rsidRPr="009854B1" w:rsidRDefault="007153BD" w:rsidP="000A0C6A">
            <w:pPr>
              <w:rPr>
                <w:rFonts w:asciiTheme="minorHAnsi" w:hAnsiTheme="minorHAnsi" w:cstheme="minorHAnsi"/>
              </w:rPr>
            </w:pPr>
          </w:p>
        </w:tc>
      </w:tr>
      <w:tr w:rsidR="007153BD" w:rsidRPr="009854B1" w14:paraId="07B188A4" w14:textId="77777777" w:rsidTr="000A0C6A">
        <w:tc>
          <w:tcPr>
            <w:tcW w:w="4730" w:type="dxa"/>
            <w:gridSpan w:val="3"/>
            <w:tcBorders>
              <w:top w:val="nil"/>
              <w:left w:val="nil"/>
              <w:bottom w:val="single" w:sz="4" w:space="0" w:color="auto"/>
              <w:right w:val="nil"/>
            </w:tcBorders>
          </w:tcPr>
          <w:p w14:paraId="2E6F788A" w14:textId="77777777" w:rsidR="007153BD" w:rsidRPr="009854B1" w:rsidRDefault="007153BD" w:rsidP="000A0C6A">
            <w:pPr>
              <w:rPr>
                <w:rFonts w:asciiTheme="minorHAnsi" w:hAnsiTheme="minorHAnsi" w:cstheme="minorHAnsi"/>
                <w:b/>
              </w:rPr>
            </w:pPr>
          </w:p>
          <w:p w14:paraId="0570030E" w14:textId="77777777" w:rsidR="007153BD" w:rsidRPr="009854B1" w:rsidRDefault="007153BD" w:rsidP="000A0C6A">
            <w:pPr>
              <w:rPr>
                <w:rFonts w:asciiTheme="minorHAnsi" w:hAnsiTheme="minorHAnsi" w:cstheme="minorHAnsi"/>
                <w:b/>
              </w:rPr>
            </w:pPr>
            <w:r w:rsidRPr="009854B1">
              <w:rPr>
                <w:rFonts w:asciiTheme="minorHAnsi" w:hAnsiTheme="minorHAnsi" w:cstheme="minorHAnsi"/>
                <w:b/>
              </w:rPr>
              <w:t>Metode poučevanja in učenja:</w:t>
            </w:r>
          </w:p>
        </w:tc>
        <w:tc>
          <w:tcPr>
            <w:tcW w:w="142" w:type="dxa"/>
          </w:tcPr>
          <w:p w14:paraId="3531D70D" w14:textId="77777777" w:rsidR="007153BD" w:rsidRPr="009854B1" w:rsidRDefault="007153BD" w:rsidP="000A0C6A">
            <w:pPr>
              <w:rPr>
                <w:rFonts w:asciiTheme="minorHAnsi" w:hAnsiTheme="minorHAnsi" w:cstheme="minorHAnsi"/>
                <w:b/>
              </w:rPr>
            </w:pPr>
          </w:p>
          <w:p w14:paraId="5413D295" w14:textId="77777777" w:rsidR="007153BD" w:rsidRPr="009854B1" w:rsidRDefault="007153BD" w:rsidP="000A0C6A">
            <w:pPr>
              <w:rPr>
                <w:rFonts w:asciiTheme="minorHAnsi" w:hAnsiTheme="minorHAnsi" w:cstheme="minorHAnsi"/>
                <w:b/>
              </w:rPr>
            </w:pPr>
          </w:p>
        </w:tc>
        <w:tc>
          <w:tcPr>
            <w:tcW w:w="4823" w:type="dxa"/>
            <w:gridSpan w:val="2"/>
            <w:tcBorders>
              <w:top w:val="nil"/>
              <w:left w:val="nil"/>
              <w:bottom w:val="single" w:sz="4" w:space="0" w:color="auto"/>
              <w:right w:val="nil"/>
            </w:tcBorders>
          </w:tcPr>
          <w:p w14:paraId="17827533" w14:textId="77777777" w:rsidR="007153BD" w:rsidRPr="009854B1" w:rsidRDefault="007153BD" w:rsidP="000A0C6A">
            <w:pPr>
              <w:rPr>
                <w:rFonts w:asciiTheme="minorHAnsi" w:hAnsiTheme="minorHAnsi" w:cstheme="minorHAnsi"/>
                <w:b/>
              </w:rPr>
            </w:pPr>
          </w:p>
          <w:p w14:paraId="02D6DB8E" w14:textId="77777777" w:rsidR="007153BD" w:rsidRPr="009854B1" w:rsidRDefault="007153BD" w:rsidP="000A0C6A">
            <w:pPr>
              <w:rPr>
                <w:rFonts w:asciiTheme="minorHAnsi" w:hAnsiTheme="minorHAnsi" w:cstheme="minorHAnsi"/>
                <w:b/>
              </w:rPr>
            </w:pPr>
            <w:r w:rsidRPr="009854B1">
              <w:rPr>
                <w:rFonts w:asciiTheme="minorHAnsi" w:hAnsiTheme="minorHAnsi" w:cstheme="minorHAnsi"/>
                <w:b/>
              </w:rPr>
              <w:t>Learning and teaching methods:</w:t>
            </w:r>
          </w:p>
        </w:tc>
      </w:tr>
      <w:tr w:rsidR="007153BD" w:rsidRPr="009854B1" w14:paraId="538994FF" w14:textId="77777777" w:rsidTr="000A0C6A">
        <w:trPr>
          <w:trHeight w:val="2023"/>
        </w:trPr>
        <w:tc>
          <w:tcPr>
            <w:tcW w:w="4730" w:type="dxa"/>
            <w:gridSpan w:val="3"/>
            <w:tcBorders>
              <w:top w:val="single" w:sz="4" w:space="0" w:color="auto"/>
              <w:left w:val="single" w:sz="4" w:space="0" w:color="auto"/>
              <w:bottom w:val="single" w:sz="4" w:space="0" w:color="auto"/>
              <w:right w:val="single" w:sz="4" w:space="0" w:color="auto"/>
            </w:tcBorders>
          </w:tcPr>
          <w:p w14:paraId="40D3BBF2" w14:textId="53959A01" w:rsidR="007153BD" w:rsidRPr="009854B1" w:rsidRDefault="005D7E70" w:rsidP="005D7E70">
            <w:pPr>
              <w:rPr>
                <w:rFonts w:asciiTheme="minorHAnsi" w:hAnsiTheme="minorHAnsi" w:cstheme="minorHAnsi"/>
              </w:rPr>
            </w:pPr>
            <w:r w:rsidRPr="009854B1">
              <w:rPr>
                <w:rFonts w:asciiTheme="minorHAnsi" w:hAnsiTheme="minorHAnsi" w:cstheme="minorHAnsi"/>
              </w:rPr>
              <w:t xml:space="preserve"> </w:t>
            </w:r>
            <w:r w:rsidR="00935A51" w:rsidRPr="009854B1">
              <w:rPr>
                <w:rFonts w:asciiTheme="minorHAnsi" w:hAnsiTheme="minorHAnsi" w:cstheme="minorHAnsi"/>
              </w:rPr>
              <w:t>Predavanja (posredovanje temeljnih teoretičnih znanj), seminarji (obravnava posameznih problemov in primerov), drugo delo (posvetovanja pri pripravi seminarskih nalog)</w:t>
            </w:r>
          </w:p>
        </w:tc>
        <w:tc>
          <w:tcPr>
            <w:tcW w:w="142" w:type="dxa"/>
            <w:tcBorders>
              <w:top w:val="nil"/>
              <w:left w:val="single" w:sz="4" w:space="0" w:color="auto"/>
              <w:bottom w:val="nil"/>
              <w:right w:val="single" w:sz="4" w:space="0" w:color="auto"/>
            </w:tcBorders>
          </w:tcPr>
          <w:p w14:paraId="15DDFE83" w14:textId="77777777" w:rsidR="007153BD" w:rsidRPr="009854B1" w:rsidRDefault="007153BD" w:rsidP="000A0C6A">
            <w:pPr>
              <w:rPr>
                <w:rFonts w:asciiTheme="minorHAnsi" w:hAnsiTheme="minorHAnsi" w:cstheme="minorHAnsi"/>
              </w:rPr>
            </w:pPr>
          </w:p>
        </w:tc>
        <w:tc>
          <w:tcPr>
            <w:tcW w:w="4823" w:type="dxa"/>
            <w:gridSpan w:val="2"/>
            <w:tcBorders>
              <w:top w:val="single" w:sz="4" w:space="0" w:color="auto"/>
              <w:left w:val="single" w:sz="4" w:space="0" w:color="auto"/>
              <w:bottom w:val="single" w:sz="4" w:space="0" w:color="auto"/>
              <w:right w:val="single" w:sz="4" w:space="0" w:color="auto"/>
            </w:tcBorders>
          </w:tcPr>
          <w:p w14:paraId="00799659" w14:textId="77777777" w:rsidR="007153BD" w:rsidRPr="009854B1" w:rsidRDefault="007153BD" w:rsidP="000A0C6A">
            <w:pPr>
              <w:rPr>
                <w:rFonts w:asciiTheme="minorHAnsi" w:hAnsiTheme="minorHAnsi" w:cstheme="minorHAnsi"/>
              </w:rPr>
            </w:pPr>
          </w:p>
        </w:tc>
      </w:tr>
      <w:tr w:rsidR="007153BD" w:rsidRPr="009854B1" w14:paraId="1386118A" w14:textId="77777777" w:rsidTr="000A0C6A">
        <w:tc>
          <w:tcPr>
            <w:tcW w:w="4023" w:type="dxa"/>
            <w:tcBorders>
              <w:top w:val="nil"/>
              <w:left w:val="nil"/>
              <w:bottom w:val="single" w:sz="4" w:space="0" w:color="auto"/>
              <w:right w:val="nil"/>
            </w:tcBorders>
          </w:tcPr>
          <w:p w14:paraId="6025CB1C" w14:textId="77777777" w:rsidR="007153BD" w:rsidRPr="009854B1" w:rsidRDefault="007153BD" w:rsidP="000A0C6A">
            <w:pPr>
              <w:rPr>
                <w:rFonts w:asciiTheme="minorHAnsi" w:hAnsiTheme="minorHAnsi" w:cstheme="minorHAnsi"/>
                <w:b/>
              </w:rPr>
            </w:pPr>
          </w:p>
          <w:p w14:paraId="24EDD9A0" w14:textId="77777777" w:rsidR="007153BD" w:rsidRPr="009854B1" w:rsidRDefault="007153BD" w:rsidP="000A0C6A">
            <w:pPr>
              <w:rPr>
                <w:rFonts w:asciiTheme="minorHAnsi" w:hAnsiTheme="minorHAnsi" w:cstheme="minorHAnsi"/>
                <w:b/>
              </w:rPr>
            </w:pPr>
            <w:r w:rsidRPr="009854B1">
              <w:rPr>
                <w:rFonts w:asciiTheme="minorHAnsi" w:hAnsiTheme="minorHAnsi" w:cstheme="minorHAnsi"/>
                <w:b/>
              </w:rPr>
              <w:t>Načini ocenjevanja:</w:t>
            </w:r>
          </w:p>
        </w:tc>
        <w:tc>
          <w:tcPr>
            <w:tcW w:w="1560" w:type="dxa"/>
            <w:gridSpan w:val="4"/>
            <w:tcBorders>
              <w:top w:val="nil"/>
              <w:left w:val="nil"/>
              <w:bottom w:val="single" w:sz="4" w:space="0" w:color="auto"/>
              <w:right w:val="nil"/>
            </w:tcBorders>
          </w:tcPr>
          <w:p w14:paraId="53C28A8B" w14:textId="77777777" w:rsidR="007153BD" w:rsidRPr="009854B1" w:rsidRDefault="007153BD" w:rsidP="000A0C6A">
            <w:pPr>
              <w:rPr>
                <w:rFonts w:asciiTheme="minorHAnsi" w:hAnsiTheme="minorHAnsi" w:cstheme="minorHAnsi"/>
              </w:rPr>
            </w:pPr>
            <w:r w:rsidRPr="009854B1">
              <w:rPr>
                <w:rFonts w:asciiTheme="minorHAnsi" w:hAnsiTheme="minorHAnsi" w:cstheme="minorHAnsi"/>
              </w:rPr>
              <w:t>Delež (v %) /</w:t>
            </w:r>
          </w:p>
          <w:p w14:paraId="6949D1E8" w14:textId="77777777" w:rsidR="007153BD" w:rsidRPr="009854B1" w:rsidRDefault="007153BD" w:rsidP="000A0C6A">
            <w:pPr>
              <w:rPr>
                <w:rFonts w:asciiTheme="minorHAnsi" w:hAnsiTheme="minorHAnsi" w:cstheme="minorHAnsi"/>
                <w:b/>
              </w:rPr>
            </w:pPr>
            <w:r w:rsidRPr="009854B1">
              <w:rPr>
                <w:rFonts w:asciiTheme="minorHAnsi" w:hAnsiTheme="minorHAnsi" w:cstheme="minorHAnsi"/>
              </w:rPr>
              <w:t>Weight (in %)</w:t>
            </w:r>
          </w:p>
        </w:tc>
        <w:tc>
          <w:tcPr>
            <w:tcW w:w="4112" w:type="dxa"/>
            <w:tcBorders>
              <w:top w:val="nil"/>
              <w:left w:val="nil"/>
              <w:bottom w:val="single" w:sz="4" w:space="0" w:color="auto"/>
              <w:right w:val="nil"/>
            </w:tcBorders>
          </w:tcPr>
          <w:p w14:paraId="5006A233" w14:textId="77777777" w:rsidR="007153BD" w:rsidRPr="009854B1" w:rsidRDefault="007153BD" w:rsidP="000A0C6A">
            <w:pPr>
              <w:rPr>
                <w:rFonts w:asciiTheme="minorHAnsi" w:hAnsiTheme="minorHAnsi" w:cstheme="minorHAnsi"/>
                <w:b/>
              </w:rPr>
            </w:pPr>
          </w:p>
          <w:p w14:paraId="29894E1A" w14:textId="77777777" w:rsidR="007153BD" w:rsidRPr="009854B1" w:rsidRDefault="007153BD" w:rsidP="000A0C6A">
            <w:pPr>
              <w:rPr>
                <w:rFonts w:asciiTheme="minorHAnsi" w:hAnsiTheme="minorHAnsi" w:cstheme="minorHAnsi"/>
                <w:b/>
              </w:rPr>
            </w:pPr>
            <w:r w:rsidRPr="009854B1">
              <w:rPr>
                <w:rFonts w:asciiTheme="minorHAnsi" w:hAnsiTheme="minorHAnsi" w:cstheme="minorHAnsi"/>
                <w:b/>
              </w:rPr>
              <w:t>Assessment:</w:t>
            </w:r>
          </w:p>
        </w:tc>
      </w:tr>
      <w:tr w:rsidR="007153BD" w:rsidRPr="009854B1" w14:paraId="5D91FDFE" w14:textId="77777777" w:rsidTr="000A0C6A">
        <w:trPr>
          <w:trHeight w:val="1104"/>
        </w:trPr>
        <w:tc>
          <w:tcPr>
            <w:tcW w:w="4023" w:type="dxa"/>
            <w:tcBorders>
              <w:top w:val="single" w:sz="4" w:space="0" w:color="auto"/>
              <w:left w:val="single" w:sz="4" w:space="0" w:color="auto"/>
              <w:bottom w:val="single" w:sz="4" w:space="0" w:color="auto"/>
              <w:right w:val="single" w:sz="4" w:space="0" w:color="auto"/>
            </w:tcBorders>
          </w:tcPr>
          <w:p w14:paraId="195BA9A9" w14:textId="3DF7FEA7" w:rsidR="007153BD" w:rsidRPr="009854B1" w:rsidRDefault="00935A51" w:rsidP="00A55480">
            <w:pPr>
              <w:autoSpaceDE w:val="0"/>
              <w:autoSpaceDN w:val="0"/>
              <w:adjustRightInd w:val="0"/>
              <w:rPr>
                <w:rFonts w:asciiTheme="minorHAnsi" w:hAnsiTheme="minorHAnsi" w:cstheme="minorHAnsi"/>
              </w:rPr>
            </w:pPr>
            <w:r w:rsidRPr="009854B1">
              <w:rPr>
                <w:rFonts w:asciiTheme="minorHAnsi" w:hAnsiTheme="minorHAnsi" w:cstheme="minorHAnsi"/>
              </w:rPr>
              <w:t>Pisni izpit je sestavljen tako, da pokrije celoten program predmeta. Izpit se o</w:t>
            </w:r>
            <w:r w:rsidR="00631D13">
              <w:rPr>
                <w:rFonts w:asciiTheme="minorHAnsi" w:hAnsiTheme="minorHAnsi" w:cstheme="minorHAnsi"/>
              </w:rPr>
              <w:t>ceni z ocenjevalno lestvico od 5</w:t>
            </w:r>
            <w:r w:rsidRPr="009854B1">
              <w:rPr>
                <w:rFonts w:asciiTheme="minorHAnsi" w:hAnsiTheme="minorHAnsi" w:cstheme="minorHAnsi"/>
              </w:rPr>
              <w:t xml:space="preserve"> - 10</w:t>
            </w:r>
            <w:r w:rsidR="00631D13">
              <w:rPr>
                <w:rFonts w:asciiTheme="minorHAnsi" w:hAnsiTheme="minorHAnsi" w:cstheme="minorHAnsi"/>
              </w:rPr>
              <w:t xml:space="preserve">: od 6-10 (pozitivno) oziroma </w:t>
            </w:r>
            <w:r w:rsidRPr="009854B1">
              <w:rPr>
                <w:rFonts w:asciiTheme="minorHAnsi" w:hAnsiTheme="minorHAnsi" w:cstheme="minorHAnsi"/>
              </w:rPr>
              <w:t>5 (negativno); ob upoštevanju Statuta UL in pravil Pravne fakultete.</w:t>
            </w:r>
          </w:p>
        </w:tc>
        <w:tc>
          <w:tcPr>
            <w:tcW w:w="1560" w:type="dxa"/>
            <w:gridSpan w:val="4"/>
            <w:tcBorders>
              <w:top w:val="single" w:sz="4" w:space="0" w:color="auto"/>
              <w:left w:val="single" w:sz="4" w:space="0" w:color="auto"/>
              <w:bottom w:val="single" w:sz="4" w:space="0" w:color="auto"/>
              <w:right w:val="single" w:sz="4" w:space="0" w:color="auto"/>
            </w:tcBorders>
            <w:vAlign w:val="bottom"/>
          </w:tcPr>
          <w:p w14:paraId="6C8879A8" w14:textId="77777777" w:rsidR="007153BD" w:rsidRPr="009854B1" w:rsidRDefault="007153BD" w:rsidP="000A0C6A">
            <w:pPr>
              <w:rPr>
                <w:rFonts w:asciiTheme="minorHAnsi" w:hAnsiTheme="minorHAnsi" w:cstheme="minorHAnsi"/>
                <w:b/>
              </w:rPr>
            </w:pPr>
          </w:p>
        </w:tc>
        <w:tc>
          <w:tcPr>
            <w:tcW w:w="4112" w:type="dxa"/>
            <w:tcBorders>
              <w:top w:val="single" w:sz="4" w:space="0" w:color="auto"/>
              <w:left w:val="single" w:sz="4" w:space="0" w:color="auto"/>
              <w:bottom w:val="single" w:sz="4" w:space="0" w:color="auto"/>
              <w:right w:val="single" w:sz="4" w:space="0" w:color="auto"/>
            </w:tcBorders>
          </w:tcPr>
          <w:p w14:paraId="4AB003E3" w14:textId="77777777" w:rsidR="007153BD" w:rsidRPr="009854B1" w:rsidRDefault="007153BD" w:rsidP="000A0C6A">
            <w:pPr>
              <w:rPr>
                <w:rFonts w:asciiTheme="minorHAnsi" w:hAnsiTheme="minorHAnsi" w:cstheme="minorHAnsi"/>
                <w:b/>
              </w:rPr>
            </w:pPr>
          </w:p>
        </w:tc>
      </w:tr>
      <w:tr w:rsidR="007153BD" w:rsidRPr="009854B1" w14:paraId="078A4DA6" w14:textId="77777777" w:rsidTr="000A0C6A">
        <w:tc>
          <w:tcPr>
            <w:tcW w:w="9695" w:type="dxa"/>
            <w:gridSpan w:val="6"/>
            <w:tcBorders>
              <w:top w:val="single" w:sz="4" w:space="0" w:color="auto"/>
              <w:left w:val="nil"/>
              <w:bottom w:val="single" w:sz="4" w:space="0" w:color="auto"/>
              <w:right w:val="nil"/>
            </w:tcBorders>
          </w:tcPr>
          <w:p w14:paraId="44C9F402" w14:textId="77777777" w:rsidR="007153BD" w:rsidRPr="009854B1" w:rsidRDefault="007153BD" w:rsidP="000A0C6A">
            <w:pPr>
              <w:rPr>
                <w:rFonts w:asciiTheme="minorHAnsi" w:hAnsiTheme="minorHAnsi" w:cstheme="minorHAnsi"/>
                <w:b/>
              </w:rPr>
            </w:pPr>
          </w:p>
          <w:p w14:paraId="12A2B870" w14:textId="77777777" w:rsidR="007153BD" w:rsidRPr="009854B1" w:rsidRDefault="007153BD" w:rsidP="00AF6F00">
            <w:pPr>
              <w:rPr>
                <w:rFonts w:asciiTheme="minorHAnsi" w:hAnsiTheme="minorHAnsi" w:cstheme="minorHAnsi"/>
                <w:b/>
              </w:rPr>
            </w:pPr>
            <w:r w:rsidRPr="009854B1">
              <w:rPr>
                <w:rFonts w:asciiTheme="minorHAnsi" w:hAnsiTheme="minorHAnsi" w:cstheme="minorHAnsi"/>
                <w:b/>
              </w:rPr>
              <w:t xml:space="preserve">Reference nosilca / Lecturer's references: </w:t>
            </w:r>
          </w:p>
        </w:tc>
      </w:tr>
      <w:tr w:rsidR="007153BD" w:rsidRPr="009854B1" w14:paraId="45506EC8" w14:textId="77777777" w:rsidTr="000A0C6A">
        <w:tc>
          <w:tcPr>
            <w:tcW w:w="9695" w:type="dxa"/>
            <w:gridSpan w:val="6"/>
            <w:tcBorders>
              <w:top w:val="single" w:sz="4" w:space="0" w:color="auto"/>
              <w:left w:val="single" w:sz="4" w:space="0" w:color="auto"/>
              <w:bottom w:val="single" w:sz="4" w:space="0" w:color="auto"/>
              <w:right w:val="single" w:sz="4" w:space="0" w:color="auto"/>
            </w:tcBorders>
          </w:tcPr>
          <w:p w14:paraId="5FD18C2E" w14:textId="35E90B9C" w:rsidR="005D7E70" w:rsidRPr="009854B1" w:rsidRDefault="00935A51" w:rsidP="00935A51">
            <w:pPr>
              <w:pStyle w:val="Navadensplet"/>
              <w:numPr>
                <w:ilvl w:val="0"/>
                <w:numId w:val="2"/>
              </w:numPr>
              <w:spacing w:before="0" w:beforeAutospacing="0" w:after="0" w:afterAutospacing="0"/>
              <w:rPr>
                <w:rFonts w:asciiTheme="minorHAnsi" w:hAnsiTheme="minorHAnsi" w:cstheme="minorHAnsi"/>
              </w:rPr>
            </w:pPr>
            <w:r w:rsidRPr="009854B1">
              <w:rPr>
                <w:rFonts w:asciiTheme="minorHAnsi" w:hAnsiTheme="minorHAnsi" w:cstheme="minorHAnsi"/>
              </w:rPr>
              <w:t>PODOBNIK, Klemen. Nova ekonomija in novi trendi v konkurenčnem pravu. Podjetje in delo, Letn. 28, št. 6/7.</w:t>
            </w:r>
          </w:p>
          <w:p w14:paraId="486F29A0" w14:textId="60E38751" w:rsidR="00935A51" w:rsidRPr="009854B1" w:rsidRDefault="00935A51" w:rsidP="00935A51">
            <w:pPr>
              <w:pStyle w:val="Navadensplet"/>
              <w:numPr>
                <w:ilvl w:val="0"/>
                <w:numId w:val="2"/>
              </w:numPr>
              <w:spacing w:before="0" w:beforeAutospacing="0" w:after="0" w:afterAutospacing="0"/>
              <w:rPr>
                <w:rFonts w:asciiTheme="minorHAnsi" w:hAnsiTheme="minorHAnsi" w:cstheme="minorHAnsi"/>
              </w:rPr>
            </w:pPr>
            <w:bookmarkStart w:id="7" w:name="24"/>
            <w:r w:rsidRPr="009854B1">
              <w:rPr>
                <w:rFonts w:asciiTheme="minorHAnsi" w:hAnsiTheme="minorHAnsi" w:cstheme="minorHAnsi"/>
                <w:b/>
                <w:bCs/>
              </w:rPr>
              <w:t> </w:t>
            </w:r>
            <w:bookmarkEnd w:id="7"/>
            <w:r w:rsidRPr="009854B1">
              <w:rPr>
                <w:rFonts w:asciiTheme="minorHAnsi" w:hAnsiTheme="minorHAnsi" w:cstheme="minorHAnsi"/>
              </w:rPr>
              <w:t>DAMJAN, Matija, PODOBNIK, Klemen, VLAHEK, Ana. Slovenia. V: VILAÇA, José Luis da Cruz (ur.), et al. </w:t>
            </w:r>
            <w:r w:rsidRPr="009854B1">
              <w:rPr>
                <w:rFonts w:asciiTheme="minorHAnsi" w:hAnsiTheme="minorHAnsi" w:cstheme="minorHAnsi"/>
                <w:i/>
                <w:iCs/>
              </w:rPr>
              <w:t>Congress proceedings.Vol. 1, The internal market and the digital economy = Le marché intérieur et lʹéconomie digitale = Der Binnenmarkt und die digitale Wirtschaft</w:t>
            </w:r>
            <w:r w:rsidRPr="009854B1">
              <w:rPr>
                <w:rFonts w:asciiTheme="minorHAnsi" w:hAnsiTheme="minorHAnsi" w:cstheme="minorHAnsi"/>
              </w:rPr>
              <w:t>. Coimbra: Almedina, 2018. Str. 667-707</w:t>
            </w:r>
          </w:p>
          <w:p w14:paraId="13CB2710" w14:textId="609F23B3" w:rsidR="00935A51" w:rsidRPr="009854B1" w:rsidRDefault="00935A51" w:rsidP="00935A51">
            <w:pPr>
              <w:pStyle w:val="Navadensplet"/>
              <w:numPr>
                <w:ilvl w:val="0"/>
                <w:numId w:val="2"/>
              </w:numPr>
              <w:spacing w:before="0" w:beforeAutospacing="0" w:after="0" w:afterAutospacing="0"/>
              <w:rPr>
                <w:rFonts w:asciiTheme="minorHAnsi" w:hAnsiTheme="minorHAnsi" w:cstheme="minorHAnsi"/>
              </w:rPr>
            </w:pPr>
            <w:bookmarkStart w:id="8" w:name="38"/>
            <w:r w:rsidRPr="009854B1">
              <w:rPr>
                <w:rFonts w:asciiTheme="minorHAnsi" w:hAnsiTheme="minorHAnsi" w:cstheme="minorHAnsi"/>
                <w:b/>
                <w:bCs/>
              </w:rPr>
              <w:lastRenderedPageBreak/>
              <w:t> </w:t>
            </w:r>
            <w:bookmarkEnd w:id="8"/>
            <w:r w:rsidRPr="009854B1">
              <w:rPr>
                <w:rFonts w:asciiTheme="minorHAnsi" w:hAnsiTheme="minorHAnsi" w:cstheme="minorHAnsi"/>
              </w:rPr>
              <w:t>PODOBNIK, Klemen. Korist potrošnika kot skupni cilj in enovit standard presoje v pravu varstva potrošnikov in konkurenčnem pravu?. V: VLAHEK, Ana (ur.), DAMJAN, Matija (ur.), AHTIK, Meta. </w:t>
            </w:r>
            <w:r w:rsidRPr="009854B1">
              <w:rPr>
                <w:rFonts w:asciiTheme="minorHAnsi" w:hAnsiTheme="minorHAnsi" w:cstheme="minorHAnsi"/>
                <w:i/>
                <w:iCs/>
              </w:rPr>
              <w:t>Pravo in politika sodobnega varstva potrošnikov</w:t>
            </w:r>
            <w:r w:rsidRPr="009854B1">
              <w:rPr>
                <w:rFonts w:asciiTheme="minorHAnsi" w:hAnsiTheme="minorHAnsi" w:cstheme="minorHAnsi"/>
              </w:rPr>
              <w:t>. 1. natis. Ljubljana: IUS Software, GV založba: Inštitut za primerjalno pravo pri Pravni fakulteti, 2015. Str. 213-221</w:t>
            </w:r>
          </w:p>
          <w:p w14:paraId="54297ACB" w14:textId="192E8CAC" w:rsidR="00935A51" w:rsidRPr="009854B1" w:rsidRDefault="00935A51" w:rsidP="00935A51">
            <w:pPr>
              <w:pStyle w:val="Navadensplet"/>
              <w:numPr>
                <w:ilvl w:val="0"/>
                <w:numId w:val="2"/>
              </w:numPr>
              <w:spacing w:before="0" w:beforeAutospacing="0" w:after="0" w:afterAutospacing="0"/>
              <w:rPr>
                <w:rFonts w:asciiTheme="minorHAnsi" w:hAnsiTheme="minorHAnsi" w:cstheme="minorHAnsi"/>
              </w:rPr>
            </w:pPr>
            <w:r w:rsidRPr="009854B1">
              <w:rPr>
                <w:rFonts w:asciiTheme="minorHAnsi" w:hAnsiTheme="minorHAnsi" w:cstheme="minorHAnsi"/>
              </w:rPr>
              <w:t>DAMJAN, Matija. The interface between blockchain and the real world. </w:t>
            </w:r>
            <w:r w:rsidRPr="009854B1">
              <w:rPr>
                <w:rFonts w:asciiTheme="minorHAnsi" w:hAnsiTheme="minorHAnsi" w:cstheme="minorHAnsi"/>
                <w:i/>
                <w:iCs/>
              </w:rPr>
              <w:t>Ragion pratica</w:t>
            </w:r>
            <w:r w:rsidRPr="009854B1">
              <w:rPr>
                <w:rFonts w:asciiTheme="minorHAnsi" w:hAnsiTheme="minorHAnsi" w:cstheme="minorHAnsi"/>
              </w:rPr>
              <w:t>. 2018, 51, 2, str. 379-403</w:t>
            </w:r>
          </w:p>
          <w:p w14:paraId="29D74FF8" w14:textId="331D2E7F" w:rsidR="00935A51" w:rsidRPr="009854B1" w:rsidRDefault="00935A51" w:rsidP="00935A51">
            <w:pPr>
              <w:pStyle w:val="Navadensplet"/>
              <w:numPr>
                <w:ilvl w:val="0"/>
                <w:numId w:val="2"/>
              </w:numPr>
              <w:spacing w:before="0" w:beforeAutospacing="0" w:after="0" w:afterAutospacing="0"/>
              <w:rPr>
                <w:rFonts w:asciiTheme="minorHAnsi" w:hAnsiTheme="minorHAnsi" w:cstheme="minorHAnsi"/>
              </w:rPr>
            </w:pPr>
            <w:r w:rsidRPr="009854B1">
              <w:rPr>
                <w:rFonts w:asciiTheme="minorHAnsi" w:hAnsiTheme="minorHAnsi" w:cstheme="minorHAnsi"/>
              </w:rPr>
              <w:t>DAMJAN, Matija. Odgovornost ponudnikov storitev informacijske družbe in spletnih medijev za uporabniške vsebine. </w:t>
            </w:r>
            <w:r w:rsidRPr="009854B1">
              <w:rPr>
                <w:rFonts w:asciiTheme="minorHAnsi" w:hAnsiTheme="minorHAnsi" w:cstheme="minorHAnsi"/>
                <w:i/>
                <w:iCs/>
              </w:rPr>
              <w:t>Pravosodni bilten</w:t>
            </w:r>
            <w:r w:rsidRPr="009854B1">
              <w:rPr>
                <w:rFonts w:asciiTheme="minorHAnsi" w:hAnsiTheme="minorHAnsi" w:cstheme="minorHAnsi"/>
              </w:rPr>
              <w:t>. 2017, letn. 38, št. 1, str. 153-177</w:t>
            </w:r>
          </w:p>
          <w:p w14:paraId="018D894B" w14:textId="3DC67671" w:rsidR="00935A51" w:rsidRPr="009854B1" w:rsidRDefault="00935A51" w:rsidP="00935A51">
            <w:pPr>
              <w:pStyle w:val="Navadensplet"/>
              <w:numPr>
                <w:ilvl w:val="0"/>
                <w:numId w:val="2"/>
              </w:numPr>
              <w:spacing w:before="0" w:beforeAutospacing="0" w:after="0" w:afterAutospacing="0"/>
              <w:rPr>
                <w:rFonts w:asciiTheme="minorHAnsi" w:hAnsiTheme="minorHAnsi" w:cstheme="minorHAnsi"/>
              </w:rPr>
            </w:pPr>
            <w:r w:rsidRPr="009854B1">
              <w:rPr>
                <w:rFonts w:asciiTheme="minorHAnsi" w:hAnsiTheme="minorHAnsi" w:cstheme="minorHAnsi"/>
              </w:rPr>
              <w:t>DAMJAN, Matija. Dostop do interneta kot temeljna pravica. </w:t>
            </w:r>
            <w:r w:rsidRPr="009854B1">
              <w:rPr>
                <w:rFonts w:asciiTheme="minorHAnsi" w:hAnsiTheme="minorHAnsi" w:cstheme="minorHAnsi"/>
                <w:i/>
                <w:iCs/>
              </w:rPr>
              <w:t>Pravni letopis ...</w:t>
            </w:r>
            <w:r w:rsidRPr="009854B1">
              <w:rPr>
                <w:rFonts w:asciiTheme="minorHAnsi" w:hAnsiTheme="minorHAnsi" w:cstheme="minorHAnsi"/>
              </w:rPr>
              <w:t> 2011, str. 361-371</w:t>
            </w:r>
          </w:p>
          <w:p w14:paraId="01BA9044" w14:textId="704616F8" w:rsidR="00935A51" w:rsidRPr="009854B1" w:rsidRDefault="00935A51" w:rsidP="00935A51">
            <w:pPr>
              <w:pStyle w:val="Navadensplet"/>
              <w:numPr>
                <w:ilvl w:val="0"/>
                <w:numId w:val="2"/>
              </w:numPr>
              <w:spacing w:before="0" w:beforeAutospacing="0" w:after="0" w:afterAutospacing="0"/>
              <w:rPr>
                <w:rFonts w:asciiTheme="minorHAnsi" w:hAnsiTheme="minorHAnsi" w:cstheme="minorHAnsi"/>
              </w:rPr>
            </w:pPr>
            <w:r w:rsidRPr="009854B1">
              <w:rPr>
                <w:rFonts w:asciiTheme="minorHAnsi" w:hAnsiTheme="minorHAnsi" w:cstheme="minorHAnsi"/>
              </w:rPr>
              <w:t>DAMJAN, Matija. Odstranitev na zahtevo ali obveznost filtriranja nezakonitih uporabniških vsebin na internetu. V: REPAS, Martina (ur.). </w:t>
            </w:r>
            <w:r w:rsidRPr="009854B1">
              <w:rPr>
                <w:rFonts w:asciiTheme="minorHAnsi" w:hAnsiTheme="minorHAnsi" w:cstheme="minorHAnsi"/>
                <w:i/>
                <w:iCs/>
              </w:rPr>
              <w:t>Digitalno gospodarstvo : konferenčni zbornik</w:t>
            </w:r>
            <w:r w:rsidR="00853684" w:rsidRPr="009854B1">
              <w:rPr>
                <w:rFonts w:asciiTheme="minorHAnsi" w:hAnsiTheme="minorHAnsi" w:cstheme="minorHAnsi"/>
              </w:rPr>
              <w:t>,</w:t>
            </w:r>
            <w:r w:rsidRPr="009854B1">
              <w:rPr>
                <w:rFonts w:asciiTheme="minorHAnsi" w:hAnsiTheme="minorHAnsi" w:cstheme="minorHAnsi"/>
              </w:rPr>
              <w:t xml:space="preserve"> Maribor: Univerzitetna založba Univerze, 2018. Str. 53-74</w:t>
            </w:r>
          </w:p>
          <w:p w14:paraId="04FBA75E" w14:textId="77777777" w:rsidR="007153BD" w:rsidRPr="009854B1" w:rsidRDefault="007153BD" w:rsidP="000A0C6A">
            <w:pPr>
              <w:rPr>
                <w:rFonts w:asciiTheme="minorHAnsi" w:hAnsiTheme="minorHAnsi" w:cstheme="minorHAnsi"/>
              </w:rPr>
            </w:pPr>
          </w:p>
        </w:tc>
      </w:tr>
    </w:tbl>
    <w:p w14:paraId="39B6B9E3" w14:textId="77777777" w:rsidR="00995E20" w:rsidRPr="009854B1" w:rsidRDefault="00995E20">
      <w:pPr>
        <w:rPr>
          <w:rFonts w:asciiTheme="minorHAnsi" w:hAnsiTheme="minorHAnsi" w:cstheme="minorHAnsi"/>
        </w:rPr>
      </w:pPr>
    </w:p>
    <w:sectPr w:rsidR="00995E20" w:rsidRPr="009854B1" w:rsidSect="000A0C6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dine 401 SI">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57B45"/>
    <w:multiLevelType w:val="hybridMultilevel"/>
    <w:tmpl w:val="C8863778"/>
    <w:lvl w:ilvl="0" w:tplc="BF4C5D24">
      <w:start w:val="1"/>
      <w:numFmt w:val="decimal"/>
      <w:lvlText w:val="%1."/>
      <w:lvlJc w:val="left"/>
      <w:pPr>
        <w:ind w:left="480" w:hanging="360"/>
      </w:pPr>
      <w:rPr>
        <w:rFonts w:hint="default"/>
      </w:rPr>
    </w:lvl>
    <w:lvl w:ilvl="1" w:tplc="20000019">
      <w:start w:val="1"/>
      <w:numFmt w:val="lowerLetter"/>
      <w:lvlText w:val="%2."/>
      <w:lvlJc w:val="left"/>
      <w:pPr>
        <w:ind w:left="1200" w:hanging="360"/>
      </w:pPr>
    </w:lvl>
    <w:lvl w:ilvl="2" w:tplc="2000001B" w:tentative="1">
      <w:start w:val="1"/>
      <w:numFmt w:val="lowerRoman"/>
      <w:lvlText w:val="%3."/>
      <w:lvlJc w:val="right"/>
      <w:pPr>
        <w:ind w:left="1920" w:hanging="180"/>
      </w:pPr>
    </w:lvl>
    <w:lvl w:ilvl="3" w:tplc="2000000F" w:tentative="1">
      <w:start w:val="1"/>
      <w:numFmt w:val="decimal"/>
      <w:lvlText w:val="%4."/>
      <w:lvlJc w:val="left"/>
      <w:pPr>
        <w:ind w:left="2640" w:hanging="360"/>
      </w:pPr>
    </w:lvl>
    <w:lvl w:ilvl="4" w:tplc="20000019" w:tentative="1">
      <w:start w:val="1"/>
      <w:numFmt w:val="lowerLetter"/>
      <w:lvlText w:val="%5."/>
      <w:lvlJc w:val="left"/>
      <w:pPr>
        <w:ind w:left="3360" w:hanging="360"/>
      </w:pPr>
    </w:lvl>
    <w:lvl w:ilvl="5" w:tplc="2000001B" w:tentative="1">
      <w:start w:val="1"/>
      <w:numFmt w:val="lowerRoman"/>
      <w:lvlText w:val="%6."/>
      <w:lvlJc w:val="right"/>
      <w:pPr>
        <w:ind w:left="4080" w:hanging="180"/>
      </w:pPr>
    </w:lvl>
    <w:lvl w:ilvl="6" w:tplc="2000000F" w:tentative="1">
      <w:start w:val="1"/>
      <w:numFmt w:val="decimal"/>
      <w:lvlText w:val="%7."/>
      <w:lvlJc w:val="left"/>
      <w:pPr>
        <w:ind w:left="4800" w:hanging="360"/>
      </w:pPr>
    </w:lvl>
    <w:lvl w:ilvl="7" w:tplc="20000019" w:tentative="1">
      <w:start w:val="1"/>
      <w:numFmt w:val="lowerLetter"/>
      <w:lvlText w:val="%8."/>
      <w:lvlJc w:val="left"/>
      <w:pPr>
        <w:ind w:left="5520" w:hanging="360"/>
      </w:pPr>
    </w:lvl>
    <w:lvl w:ilvl="8" w:tplc="2000001B" w:tentative="1">
      <w:start w:val="1"/>
      <w:numFmt w:val="lowerRoman"/>
      <w:lvlText w:val="%9."/>
      <w:lvlJc w:val="right"/>
      <w:pPr>
        <w:ind w:left="6240" w:hanging="180"/>
      </w:pPr>
    </w:lvl>
  </w:abstractNum>
  <w:abstractNum w:abstractNumId="1" w15:restartNumberingAfterBreak="0">
    <w:nsid w:val="7A490397"/>
    <w:multiLevelType w:val="hybridMultilevel"/>
    <w:tmpl w:val="6180C494"/>
    <w:lvl w:ilvl="0" w:tplc="3EB05034">
      <w:start w:val="1"/>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BD"/>
    <w:rsid w:val="00020452"/>
    <w:rsid w:val="00060E11"/>
    <w:rsid w:val="0006532D"/>
    <w:rsid w:val="00082FFC"/>
    <w:rsid w:val="000A0C6A"/>
    <w:rsid w:val="000C5C4D"/>
    <w:rsid w:val="0011213C"/>
    <w:rsid w:val="001E3ADB"/>
    <w:rsid w:val="001E4952"/>
    <w:rsid w:val="00294B98"/>
    <w:rsid w:val="003A7F10"/>
    <w:rsid w:val="003C0742"/>
    <w:rsid w:val="003C104E"/>
    <w:rsid w:val="003D6EBF"/>
    <w:rsid w:val="003E6EAE"/>
    <w:rsid w:val="004105A3"/>
    <w:rsid w:val="00414B29"/>
    <w:rsid w:val="00425A30"/>
    <w:rsid w:val="00434840"/>
    <w:rsid w:val="004617F0"/>
    <w:rsid w:val="00495BA0"/>
    <w:rsid w:val="00530435"/>
    <w:rsid w:val="005C6E53"/>
    <w:rsid w:val="005D445A"/>
    <w:rsid w:val="005D7E70"/>
    <w:rsid w:val="00631D13"/>
    <w:rsid w:val="0064375E"/>
    <w:rsid w:val="0068588E"/>
    <w:rsid w:val="006F38BE"/>
    <w:rsid w:val="007153BD"/>
    <w:rsid w:val="007B1706"/>
    <w:rsid w:val="007D19ED"/>
    <w:rsid w:val="00800BFD"/>
    <w:rsid w:val="00811B1A"/>
    <w:rsid w:val="00846426"/>
    <w:rsid w:val="00853684"/>
    <w:rsid w:val="008C6F91"/>
    <w:rsid w:val="00916F3D"/>
    <w:rsid w:val="00935A51"/>
    <w:rsid w:val="00967A8B"/>
    <w:rsid w:val="009854B1"/>
    <w:rsid w:val="00995E20"/>
    <w:rsid w:val="009A2C1B"/>
    <w:rsid w:val="00A32317"/>
    <w:rsid w:val="00A55480"/>
    <w:rsid w:val="00A751AF"/>
    <w:rsid w:val="00A97B72"/>
    <w:rsid w:val="00AA2711"/>
    <w:rsid w:val="00AB34AF"/>
    <w:rsid w:val="00AF65EA"/>
    <w:rsid w:val="00AF6F00"/>
    <w:rsid w:val="00B96BFA"/>
    <w:rsid w:val="00C035E5"/>
    <w:rsid w:val="00C136CE"/>
    <w:rsid w:val="00CC71D2"/>
    <w:rsid w:val="00D83734"/>
    <w:rsid w:val="00D97A00"/>
    <w:rsid w:val="00DB5C3F"/>
    <w:rsid w:val="00DE6ED6"/>
    <w:rsid w:val="00DE7BE0"/>
    <w:rsid w:val="00DF6A3C"/>
    <w:rsid w:val="00E50322"/>
    <w:rsid w:val="00E8017E"/>
    <w:rsid w:val="00EE5059"/>
    <w:rsid w:val="00F51604"/>
    <w:rsid w:val="00FB78CA"/>
    <w:rsid w:val="00FB795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C12E9"/>
  <w15:docId w15:val="{23816710-DE93-4598-9F2E-A84C9FC4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153BD"/>
    <w:pPr>
      <w:spacing w:after="0" w:line="240" w:lineRule="auto"/>
    </w:pPr>
    <w:rPr>
      <w:rFonts w:ascii="Calibri" w:eastAsia="Calibri" w:hAnsi="Calibri"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5D7E70"/>
    <w:rPr>
      <w:color w:val="0000FF"/>
      <w:u w:val="single"/>
    </w:rPr>
  </w:style>
  <w:style w:type="paragraph" w:styleId="Navadensplet">
    <w:name w:val="Normal (Web)"/>
    <w:basedOn w:val="Navaden"/>
    <w:uiPriority w:val="99"/>
    <w:semiHidden/>
    <w:unhideWhenUsed/>
    <w:rsid w:val="005D7E70"/>
    <w:pPr>
      <w:spacing w:before="100" w:beforeAutospacing="1" w:after="100" w:afterAutospacing="1"/>
    </w:pPr>
    <w:rPr>
      <w:rFonts w:ascii="Times New Roman" w:eastAsia="Times New Roman" w:hAnsi="Times New Roman"/>
    </w:rPr>
  </w:style>
  <w:style w:type="paragraph" w:styleId="Besedilooblaka">
    <w:name w:val="Balloon Text"/>
    <w:basedOn w:val="Navaden"/>
    <w:link w:val="BesedilooblakaZnak"/>
    <w:uiPriority w:val="99"/>
    <w:semiHidden/>
    <w:unhideWhenUsed/>
    <w:rsid w:val="00082FFC"/>
    <w:rPr>
      <w:sz w:val="18"/>
      <w:szCs w:val="18"/>
    </w:rPr>
  </w:style>
  <w:style w:type="character" w:customStyle="1" w:styleId="BesedilooblakaZnak">
    <w:name w:val="Besedilo oblačka Znak"/>
    <w:basedOn w:val="Privzetapisavaodstavka"/>
    <w:link w:val="Besedilooblaka"/>
    <w:uiPriority w:val="99"/>
    <w:semiHidden/>
    <w:rsid w:val="00082FFC"/>
    <w:rPr>
      <w:rFonts w:ascii="Calibri" w:eastAsia="Calibri" w:hAnsi="Calibri" w:cs="Times New Roman"/>
      <w:sz w:val="18"/>
      <w:szCs w:val="18"/>
      <w:lang w:eastAsia="sl-SI"/>
    </w:rPr>
  </w:style>
  <w:style w:type="paragraph" w:customStyle="1" w:styleId="Default">
    <w:name w:val="Default"/>
    <w:rsid w:val="003A7F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ibliografija1">
    <w:name w:val="Bibliografija1"/>
    <w:basedOn w:val="Navaden"/>
    <w:rsid w:val="00294B98"/>
    <w:pPr>
      <w:keepLines/>
      <w:ind w:left="340" w:hanging="340"/>
    </w:pPr>
    <w:rPr>
      <w:rFonts w:ascii="Aldine 401 SI" w:eastAsia="Times New Roman" w:hAnsi="Aldine 401 SI"/>
      <w:i/>
      <w:noProof/>
      <w:sz w:val="20"/>
      <w:szCs w:val="20"/>
    </w:rPr>
  </w:style>
  <w:style w:type="paragraph" w:styleId="Telobesedila">
    <w:name w:val="Body Text"/>
    <w:basedOn w:val="Navaden"/>
    <w:link w:val="TelobesedilaZnak"/>
    <w:semiHidden/>
    <w:rsid w:val="00294B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eastAsia="Times New Roman" w:hAnsi="Times New Roman"/>
      <w:b/>
      <w:szCs w:val="20"/>
    </w:rPr>
  </w:style>
  <w:style w:type="character" w:customStyle="1" w:styleId="TelobesedilaZnak">
    <w:name w:val="Telo besedila Znak"/>
    <w:basedOn w:val="Privzetapisavaodstavka"/>
    <w:link w:val="Telobesedila"/>
    <w:semiHidden/>
    <w:rsid w:val="00294B98"/>
    <w:rPr>
      <w:rFonts w:ascii="Times New Roman" w:eastAsia="Times New Roman" w:hAnsi="Times New Roman" w:cs="Times New Roman"/>
      <w:b/>
      <w:sz w:val="24"/>
      <w:szCs w:val="20"/>
      <w:lang w:eastAsia="sl-SI"/>
    </w:rPr>
  </w:style>
  <w:style w:type="paragraph" w:styleId="Sprotnaopomba-besedilo">
    <w:name w:val="footnote text"/>
    <w:basedOn w:val="Navaden"/>
    <w:link w:val="Sprotnaopomba-besediloZnak"/>
    <w:semiHidden/>
    <w:rsid w:val="00294B98"/>
    <w:rPr>
      <w:rFonts w:ascii="Times New Roman" w:eastAsia="Times New Roman" w:hAnsi="Times New Roman"/>
      <w:sz w:val="20"/>
      <w:szCs w:val="20"/>
    </w:rPr>
  </w:style>
  <w:style w:type="character" w:customStyle="1" w:styleId="Sprotnaopomba-besediloZnak">
    <w:name w:val="Sprotna opomba - besedilo Znak"/>
    <w:basedOn w:val="Privzetapisavaodstavka"/>
    <w:link w:val="Sprotnaopomba-besedilo"/>
    <w:semiHidden/>
    <w:rsid w:val="00294B98"/>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D97A00"/>
    <w:pPr>
      <w:ind w:left="720"/>
      <w:contextualSpacing/>
    </w:pPr>
  </w:style>
  <w:style w:type="character" w:customStyle="1" w:styleId="UnresolvedMention">
    <w:name w:val="Unresolved Mention"/>
    <w:basedOn w:val="Privzetapisavaodstavka"/>
    <w:uiPriority w:val="99"/>
    <w:semiHidden/>
    <w:unhideWhenUsed/>
    <w:rsid w:val="00530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3370">
      <w:bodyDiv w:val="1"/>
      <w:marLeft w:val="0"/>
      <w:marRight w:val="0"/>
      <w:marTop w:val="0"/>
      <w:marBottom w:val="0"/>
      <w:divBdr>
        <w:top w:val="none" w:sz="0" w:space="0" w:color="auto"/>
        <w:left w:val="none" w:sz="0" w:space="0" w:color="auto"/>
        <w:bottom w:val="none" w:sz="0" w:space="0" w:color="auto"/>
        <w:right w:val="none" w:sz="0" w:space="0" w:color="auto"/>
      </w:divBdr>
    </w:div>
    <w:div w:id="127014142">
      <w:bodyDiv w:val="1"/>
      <w:marLeft w:val="0"/>
      <w:marRight w:val="0"/>
      <w:marTop w:val="0"/>
      <w:marBottom w:val="0"/>
      <w:divBdr>
        <w:top w:val="none" w:sz="0" w:space="0" w:color="auto"/>
        <w:left w:val="none" w:sz="0" w:space="0" w:color="auto"/>
        <w:bottom w:val="none" w:sz="0" w:space="0" w:color="auto"/>
        <w:right w:val="none" w:sz="0" w:space="0" w:color="auto"/>
      </w:divBdr>
    </w:div>
    <w:div w:id="187839397">
      <w:bodyDiv w:val="1"/>
      <w:marLeft w:val="0"/>
      <w:marRight w:val="0"/>
      <w:marTop w:val="0"/>
      <w:marBottom w:val="0"/>
      <w:divBdr>
        <w:top w:val="none" w:sz="0" w:space="0" w:color="auto"/>
        <w:left w:val="none" w:sz="0" w:space="0" w:color="auto"/>
        <w:bottom w:val="none" w:sz="0" w:space="0" w:color="auto"/>
        <w:right w:val="none" w:sz="0" w:space="0" w:color="auto"/>
      </w:divBdr>
    </w:div>
    <w:div w:id="303435229">
      <w:bodyDiv w:val="1"/>
      <w:marLeft w:val="0"/>
      <w:marRight w:val="0"/>
      <w:marTop w:val="0"/>
      <w:marBottom w:val="0"/>
      <w:divBdr>
        <w:top w:val="none" w:sz="0" w:space="0" w:color="auto"/>
        <w:left w:val="none" w:sz="0" w:space="0" w:color="auto"/>
        <w:bottom w:val="none" w:sz="0" w:space="0" w:color="auto"/>
        <w:right w:val="none" w:sz="0" w:space="0" w:color="auto"/>
      </w:divBdr>
    </w:div>
    <w:div w:id="485752922">
      <w:bodyDiv w:val="1"/>
      <w:marLeft w:val="0"/>
      <w:marRight w:val="0"/>
      <w:marTop w:val="0"/>
      <w:marBottom w:val="0"/>
      <w:divBdr>
        <w:top w:val="none" w:sz="0" w:space="0" w:color="auto"/>
        <w:left w:val="none" w:sz="0" w:space="0" w:color="auto"/>
        <w:bottom w:val="none" w:sz="0" w:space="0" w:color="auto"/>
        <w:right w:val="none" w:sz="0" w:space="0" w:color="auto"/>
      </w:divBdr>
    </w:div>
    <w:div w:id="144927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4567</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tičar</dc:creator>
  <cp:lastModifiedBy>Marentič, Maja</cp:lastModifiedBy>
  <cp:revision>3</cp:revision>
  <cp:lastPrinted>2016-01-04T13:06:00Z</cp:lastPrinted>
  <dcterms:created xsi:type="dcterms:W3CDTF">2024-05-24T11:02:00Z</dcterms:created>
  <dcterms:modified xsi:type="dcterms:W3CDTF">2024-11-07T10:14:00Z</dcterms:modified>
</cp:coreProperties>
</file>