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E31789" w:rsidRPr="00FD6257" w14:paraId="58F2C171" w14:textId="77777777" w:rsidTr="00645B98">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14:paraId="58F2C170" w14:textId="77777777" w:rsidR="00E31789" w:rsidRPr="00FD6257" w:rsidRDefault="00E31789" w:rsidP="00645B98">
            <w:pPr>
              <w:rPr>
                <w:rFonts w:cs="Calibri"/>
                <w:sz w:val="22"/>
                <w:szCs w:val="22"/>
              </w:rPr>
            </w:pPr>
            <w:r w:rsidRPr="00FD6257">
              <w:rPr>
                <w:rFonts w:cs="Calibri"/>
                <w:sz w:val="22"/>
                <w:szCs w:val="22"/>
              </w:rPr>
              <w:t>UČNI NAČRT PREDMETA / COURSE SYLLABUS</w:t>
            </w:r>
          </w:p>
        </w:tc>
      </w:tr>
      <w:tr w:rsidR="00E31789" w:rsidRPr="00FD6257" w14:paraId="58F2C174" w14:textId="77777777" w:rsidTr="00645B98">
        <w:tc>
          <w:tcPr>
            <w:tcW w:w="1799" w:type="dxa"/>
            <w:gridSpan w:val="3"/>
          </w:tcPr>
          <w:p w14:paraId="58F2C172" w14:textId="77777777" w:rsidR="00E31789" w:rsidRPr="00FD6257" w:rsidRDefault="00E31789" w:rsidP="00645B98">
            <w:pPr>
              <w:rPr>
                <w:rFonts w:cs="Calibri"/>
                <w:sz w:val="22"/>
                <w:szCs w:val="22"/>
              </w:rPr>
            </w:pPr>
            <w:r w:rsidRPr="00FD6257">
              <w:rPr>
                <w:rFonts w:cs="Calibri"/>
                <w:sz w:val="22"/>
                <w:szCs w:val="22"/>
              </w:rPr>
              <w:t>Predmet:</w:t>
            </w:r>
          </w:p>
        </w:tc>
        <w:tc>
          <w:tcPr>
            <w:tcW w:w="7891" w:type="dxa"/>
            <w:gridSpan w:val="15"/>
            <w:tcBorders>
              <w:top w:val="single" w:sz="4" w:space="0" w:color="auto"/>
              <w:left w:val="single" w:sz="4" w:space="0" w:color="auto"/>
              <w:bottom w:val="single" w:sz="4" w:space="0" w:color="auto"/>
              <w:right w:val="single" w:sz="4" w:space="0" w:color="auto"/>
            </w:tcBorders>
          </w:tcPr>
          <w:p w14:paraId="58F2C173" w14:textId="77777777" w:rsidR="00E31789" w:rsidRPr="00270258" w:rsidRDefault="00E31789" w:rsidP="00645B98">
            <w:pPr>
              <w:rPr>
                <w:rFonts w:cs="Calibri"/>
                <w:sz w:val="22"/>
                <w:szCs w:val="22"/>
              </w:rPr>
            </w:pPr>
            <w:bookmarkStart w:id="0" w:name="Predmet"/>
            <w:bookmarkEnd w:id="0"/>
            <w:r w:rsidRPr="00270258">
              <w:rPr>
                <w:rFonts w:cs="Calibri"/>
                <w:sz w:val="22"/>
                <w:szCs w:val="22"/>
              </w:rPr>
              <w:t>DELOVNO PRAVO IN POSTOPEK</w:t>
            </w:r>
          </w:p>
        </w:tc>
      </w:tr>
      <w:tr w:rsidR="00E31789" w:rsidRPr="00FD6257" w14:paraId="58F2C177" w14:textId="77777777" w:rsidTr="00645B98">
        <w:tc>
          <w:tcPr>
            <w:tcW w:w="1799" w:type="dxa"/>
            <w:gridSpan w:val="3"/>
          </w:tcPr>
          <w:p w14:paraId="58F2C175" w14:textId="77777777" w:rsidR="00E31789" w:rsidRPr="00FD6257" w:rsidRDefault="00E31789" w:rsidP="00645B98">
            <w:pPr>
              <w:rPr>
                <w:rFonts w:cs="Calibri"/>
                <w:sz w:val="22"/>
                <w:szCs w:val="22"/>
              </w:rPr>
            </w:pPr>
            <w:r w:rsidRPr="00FD6257">
              <w:rPr>
                <w:rFonts w:cs="Calibri"/>
                <w:sz w:val="22"/>
                <w:szCs w:val="22"/>
              </w:rPr>
              <w:t>Course title:</w:t>
            </w:r>
          </w:p>
        </w:tc>
        <w:tc>
          <w:tcPr>
            <w:tcW w:w="7891" w:type="dxa"/>
            <w:gridSpan w:val="15"/>
            <w:tcBorders>
              <w:top w:val="single" w:sz="4" w:space="0" w:color="auto"/>
              <w:left w:val="single" w:sz="4" w:space="0" w:color="auto"/>
              <w:bottom w:val="single" w:sz="4" w:space="0" w:color="auto"/>
              <w:right w:val="single" w:sz="4" w:space="0" w:color="auto"/>
            </w:tcBorders>
          </w:tcPr>
          <w:p w14:paraId="58F2C176" w14:textId="77777777" w:rsidR="00E31789" w:rsidRPr="00FD6257" w:rsidRDefault="00E31789" w:rsidP="00645B98">
            <w:pPr>
              <w:rPr>
                <w:rFonts w:cs="Calibri"/>
                <w:sz w:val="22"/>
                <w:szCs w:val="22"/>
              </w:rPr>
            </w:pPr>
            <w:bookmarkStart w:id="1" w:name="APredmet"/>
            <w:bookmarkEnd w:id="1"/>
          </w:p>
        </w:tc>
      </w:tr>
      <w:tr w:rsidR="00E31789" w:rsidRPr="00FD6257" w14:paraId="58F2C17C" w14:textId="77777777" w:rsidTr="00645B98">
        <w:tc>
          <w:tcPr>
            <w:tcW w:w="3307" w:type="dxa"/>
            <w:gridSpan w:val="5"/>
            <w:vAlign w:val="center"/>
          </w:tcPr>
          <w:p w14:paraId="58F2C178" w14:textId="77777777" w:rsidR="00E31789" w:rsidRPr="00FD6257" w:rsidRDefault="00E31789" w:rsidP="00645B98">
            <w:pPr>
              <w:rPr>
                <w:rFonts w:cs="Calibri"/>
                <w:sz w:val="22"/>
                <w:szCs w:val="22"/>
              </w:rPr>
            </w:pPr>
          </w:p>
        </w:tc>
        <w:tc>
          <w:tcPr>
            <w:tcW w:w="3401" w:type="dxa"/>
            <w:gridSpan w:val="8"/>
            <w:vAlign w:val="center"/>
          </w:tcPr>
          <w:p w14:paraId="58F2C179" w14:textId="77777777" w:rsidR="00E31789" w:rsidRPr="00FD6257" w:rsidRDefault="00E31789" w:rsidP="00645B98">
            <w:pPr>
              <w:rPr>
                <w:rFonts w:cs="Calibri"/>
                <w:sz w:val="22"/>
                <w:szCs w:val="22"/>
              </w:rPr>
            </w:pPr>
          </w:p>
        </w:tc>
        <w:tc>
          <w:tcPr>
            <w:tcW w:w="1558" w:type="dxa"/>
            <w:gridSpan w:val="2"/>
            <w:vAlign w:val="center"/>
          </w:tcPr>
          <w:p w14:paraId="58F2C17A" w14:textId="77777777" w:rsidR="00E31789" w:rsidRPr="00FD6257" w:rsidRDefault="00E31789" w:rsidP="00645B98">
            <w:pPr>
              <w:rPr>
                <w:rFonts w:cs="Calibri"/>
                <w:sz w:val="22"/>
                <w:szCs w:val="22"/>
              </w:rPr>
            </w:pPr>
          </w:p>
        </w:tc>
        <w:tc>
          <w:tcPr>
            <w:tcW w:w="1424" w:type="dxa"/>
            <w:gridSpan w:val="3"/>
            <w:vAlign w:val="center"/>
          </w:tcPr>
          <w:p w14:paraId="58F2C17B" w14:textId="77777777" w:rsidR="00E31789" w:rsidRPr="00FD6257" w:rsidRDefault="00E31789" w:rsidP="00645B98">
            <w:pPr>
              <w:rPr>
                <w:rFonts w:cs="Calibri"/>
                <w:sz w:val="22"/>
                <w:szCs w:val="22"/>
              </w:rPr>
            </w:pPr>
          </w:p>
        </w:tc>
      </w:tr>
      <w:tr w:rsidR="00E31789" w:rsidRPr="00FD6257" w14:paraId="58F2C185" w14:textId="77777777" w:rsidTr="00645B98">
        <w:tc>
          <w:tcPr>
            <w:tcW w:w="3307" w:type="dxa"/>
            <w:gridSpan w:val="5"/>
            <w:tcBorders>
              <w:top w:val="nil"/>
              <w:left w:val="nil"/>
              <w:bottom w:val="single" w:sz="4" w:space="0" w:color="auto"/>
              <w:right w:val="nil"/>
            </w:tcBorders>
            <w:vAlign w:val="center"/>
          </w:tcPr>
          <w:p w14:paraId="58F2C17D" w14:textId="77777777" w:rsidR="00E31789" w:rsidRPr="00FD6257" w:rsidRDefault="00E31789" w:rsidP="00645B98">
            <w:pPr>
              <w:rPr>
                <w:rFonts w:cs="Calibri"/>
                <w:sz w:val="22"/>
                <w:szCs w:val="22"/>
              </w:rPr>
            </w:pPr>
            <w:r w:rsidRPr="00FD6257">
              <w:rPr>
                <w:rFonts w:cs="Calibri"/>
                <w:sz w:val="22"/>
                <w:szCs w:val="22"/>
              </w:rPr>
              <w:t>Študijski program in stopnja</w:t>
            </w:r>
          </w:p>
          <w:p w14:paraId="58F2C17E" w14:textId="77777777" w:rsidR="00E31789" w:rsidRPr="00FD6257" w:rsidRDefault="00E31789" w:rsidP="00645B98">
            <w:pPr>
              <w:rPr>
                <w:rFonts w:cs="Calibri"/>
                <w:sz w:val="22"/>
                <w:szCs w:val="22"/>
              </w:rPr>
            </w:pPr>
            <w:r w:rsidRPr="00FD6257">
              <w:rPr>
                <w:rFonts w:cs="Calibri"/>
                <w:sz w:val="22"/>
                <w:szCs w:val="22"/>
              </w:rPr>
              <w:t>Study programme and level</w:t>
            </w:r>
          </w:p>
        </w:tc>
        <w:tc>
          <w:tcPr>
            <w:tcW w:w="3401" w:type="dxa"/>
            <w:gridSpan w:val="8"/>
            <w:tcBorders>
              <w:top w:val="nil"/>
              <w:left w:val="nil"/>
              <w:bottom w:val="single" w:sz="4" w:space="0" w:color="auto"/>
              <w:right w:val="nil"/>
            </w:tcBorders>
            <w:vAlign w:val="center"/>
          </w:tcPr>
          <w:p w14:paraId="58F2C17F" w14:textId="77777777" w:rsidR="00E31789" w:rsidRPr="00FD6257" w:rsidRDefault="00E31789" w:rsidP="00645B98">
            <w:pPr>
              <w:rPr>
                <w:rFonts w:cs="Calibri"/>
                <w:sz w:val="22"/>
                <w:szCs w:val="22"/>
              </w:rPr>
            </w:pPr>
            <w:r w:rsidRPr="00FD6257">
              <w:rPr>
                <w:rFonts w:cs="Calibri"/>
                <w:sz w:val="22"/>
                <w:szCs w:val="22"/>
              </w:rPr>
              <w:t>Študijska smer</w:t>
            </w:r>
          </w:p>
          <w:p w14:paraId="58F2C180" w14:textId="77777777" w:rsidR="00E31789" w:rsidRPr="00FD6257" w:rsidRDefault="00E31789" w:rsidP="00645B98">
            <w:pPr>
              <w:rPr>
                <w:rFonts w:cs="Calibri"/>
                <w:sz w:val="22"/>
                <w:szCs w:val="22"/>
              </w:rPr>
            </w:pPr>
            <w:r w:rsidRPr="00FD6257">
              <w:rPr>
                <w:rFonts w:cs="Calibri"/>
                <w:sz w:val="22"/>
                <w:szCs w:val="22"/>
              </w:rPr>
              <w:t>Study field</w:t>
            </w:r>
          </w:p>
        </w:tc>
        <w:tc>
          <w:tcPr>
            <w:tcW w:w="1558" w:type="dxa"/>
            <w:gridSpan w:val="2"/>
            <w:tcBorders>
              <w:top w:val="nil"/>
              <w:left w:val="nil"/>
              <w:bottom w:val="single" w:sz="4" w:space="0" w:color="auto"/>
              <w:right w:val="nil"/>
            </w:tcBorders>
            <w:vAlign w:val="center"/>
          </w:tcPr>
          <w:p w14:paraId="58F2C181" w14:textId="77777777" w:rsidR="00E31789" w:rsidRPr="00FD6257" w:rsidRDefault="00E31789" w:rsidP="00645B98">
            <w:pPr>
              <w:rPr>
                <w:rFonts w:cs="Calibri"/>
                <w:sz w:val="22"/>
                <w:szCs w:val="22"/>
              </w:rPr>
            </w:pPr>
            <w:r w:rsidRPr="00FD6257">
              <w:rPr>
                <w:rFonts w:cs="Calibri"/>
                <w:sz w:val="22"/>
                <w:szCs w:val="22"/>
              </w:rPr>
              <w:t>Letnik</w:t>
            </w:r>
          </w:p>
          <w:p w14:paraId="58F2C182" w14:textId="77777777" w:rsidR="00E31789" w:rsidRPr="00FD6257" w:rsidRDefault="00E31789" w:rsidP="00645B98">
            <w:pPr>
              <w:rPr>
                <w:rFonts w:cs="Calibri"/>
                <w:sz w:val="22"/>
                <w:szCs w:val="22"/>
              </w:rPr>
            </w:pPr>
            <w:r w:rsidRPr="00FD6257">
              <w:rPr>
                <w:rFonts w:cs="Calibri"/>
                <w:sz w:val="22"/>
                <w:szCs w:val="22"/>
              </w:rPr>
              <w:t>Academic year</w:t>
            </w:r>
          </w:p>
        </w:tc>
        <w:tc>
          <w:tcPr>
            <w:tcW w:w="1424" w:type="dxa"/>
            <w:gridSpan w:val="3"/>
            <w:tcBorders>
              <w:top w:val="nil"/>
              <w:left w:val="nil"/>
              <w:bottom w:val="single" w:sz="4" w:space="0" w:color="auto"/>
              <w:right w:val="nil"/>
            </w:tcBorders>
            <w:vAlign w:val="center"/>
          </w:tcPr>
          <w:p w14:paraId="58F2C183" w14:textId="77777777" w:rsidR="00E31789" w:rsidRPr="00FD6257" w:rsidRDefault="00E31789" w:rsidP="00645B98">
            <w:pPr>
              <w:rPr>
                <w:rFonts w:cs="Calibri"/>
                <w:sz w:val="22"/>
                <w:szCs w:val="22"/>
              </w:rPr>
            </w:pPr>
            <w:r w:rsidRPr="00FD6257">
              <w:rPr>
                <w:rFonts w:cs="Calibri"/>
                <w:sz w:val="22"/>
                <w:szCs w:val="22"/>
              </w:rPr>
              <w:t>Semester</w:t>
            </w:r>
          </w:p>
          <w:p w14:paraId="58F2C184" w14:textId="77777777" w:rsidR="00E31789" w:rsidRPr="00FD6257" w:rsidRDefault="00E31789" w:rsidP="00645B98">
            <w:pPr>
              <w:rPr>
                <w:rFonts w:cs="Calibri"/>
                <w:sz w:val="22"/>
                <w:szCs w:val="22"/>
              </w:rPr>
            </w:pPr>
            <w:r w:rsidRPr="00FD6257">
              <w:rPr>
                <w:rFonts w:cs="Calibri"/>
                <w:sz w:val="22"/>
                <w:szCs w:val="22"/>
              </w:rPr>
              <w:t>Semester</w:t>
            </w:r>
          </w:p>
        </w:tc>
      </w:tr>
      <w:tr w:rsidR="00E31789" w:rsidRPr="00FD6257" w14:paraId="58F2C18A" w14:textId="77777777" w:rsidTr="00645B9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58F2C186" w14:textId="77777777" w:rsidR="00E31789" w:rsidRPr="00FD6257" w:rsidRDefault="00E31789" w:rsidP="00645B98">
            <w:pPr>
              <w:rPr>
                <w:rFonts w:cs="Calibri"/>
                <w:bCs/>
                <w:sz w:val="22"/>
                <w:szCs w:val="22"/>
              </w:rPr>
            </w:pPr>
            <w:r w:rsidRPr="00FD6257">
              <w:rPr>
                <w:rFonts w:cs="Calibri"/>
                <w:b/>
                <w:sz w:val="22"/>
                <w:szCs w:val="22"/>
              </w:rPr>
              <w:t>Drugostopenjski magistrski program Pravo</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58F2C187" w14:textId="77777777" w:rsidR="00E31789" w:rsidRPr="00FD6257" w:rsidRDefault="00E31789" w:rsidP="00645B98">
            <w:pPr>
              <w:rPr>
                <w:rFonts w:cs="Calibri"/>
                <w:bCs/>
                <w:sz w:val="22"/>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8F2C188" w14:textId="77777777" w:rsidR="00E31789" w:rsidRPr="00FD6257" w:rsidRDefault="00E31789" w:rsidP="00645B98">
            <w:pPr>
              <w:rPr>
                <w:rFonts w:cs="Calibri"/>
                <w:bCs/>
                <w:sz w:val="22"/>
                <w:szCs w:val="22"/>
              </w:rPr>
            </w:pPr>
            <w:r w:rsidRPr="00FD6257">
              <w:rPr>
                <w:rFonts w:cs="Calibri"/>
                <w:b/>
                <w:sz w:val="22"/>
                <w:szCs w:val="22"/>
              </w:rPr>
              <w:t>Prvi</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58F2C189" w14:textId="77777777" w:rsidR="00E31789" w:rsidRPr="00FD6257" w:rsidRDefault="00E31789" w:rsidP="00645B98">
            <w:pPr>
              <w:rPr>
                <w:rFonts w:cs="Calibri"/>
                <w:bCs/>
                <w:sz w:val="22"/>
                <w:szCs w:val="22"/>
              </w:rPr>
            </w:pPr>
            <w:r w:rsidRPr="00FD6257">
              <w:rPr>
                <w:rFonts w:cs="Calibri"/>
                <w:b/>
                <w:sz w:val="22"/>
                <w:szCs w:val="22"/>
              </w:rPr>
              <w:t>Prvi</w:t>
            </w:r>
          </w:p>
        </w:tc>
      </w:tr>
      <w:tr w:rsidR="00E31789" w:rsidRPr="00FD6257" w14:paraId="58F2C18F" w14:textId="77777777" w:rsidTr="00645B9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58F2C18B" w14:textId="77777777" w:rsidR="00E31789" w:rsidRPr="00FD6257" w:rsidRDefault="00E31789" w:rsidP="00645B98">
            <w:pPr>
              <w:rPr>
                <w:rFonts w:cs="Calibri"/>
                <w:bCs/>
                <w:sz w:val="22"/>
                <w:szCs w:val="22"/>
              </w:rPr>
            </w:pP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58F2C18C" w14:textId="77777777" w:rsidR="00E31789" w:rsidRPr="00FD6257" w:rsidRDefault="00E31789" w:rsidP="00645B98">
            <w:pPr>
              <w:rPr>
                <w:rFonts w:cs="Calibri"/>
                <w:bCs/>
                <w:sz w:val="22"/>
                <w:szCs w:val="22"/>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8F2C18D" w14:textId="77777777" w:rsidR="00E31789" w:rsidRPr="00FD6257" w:rsidRDefault="00E31789" w:rsidP="00645B98">
            <w:pPr>
              <w:rPr>
                <w:rFonts w:cs="Calibri"/>
                <w:bCs/>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58F2C18E" w14:textId="77777777" w:rsidR="00E31789" w:rsidRPr="00FD6257" w:rsidRDefault="00E31789" w:rsidP="00645B98">
            <w:pPr>
              <w:rPr>
                <w:rFonts w:cs="Calibri"/>
                <w:bCs/>
                <w:sz w:val="22"/>
                <w:szCs w:val="22"/>
              </w:rPr>
            </w:pPr>
          </w:p>
        </w:tc>
      </w:tr>
      <w:tr w:rsidR="00E31789" w:rsidRPr="00FD6257" w14:paraId="58F2C191" w14:textId="77777777" w:rsidTr="00645B98">
        <w:trPr>
          <w:trHeight w:val="103"/>
        </w:trPr>
        <w:tc>
          <w:tcPr>
            <w:tcW w:w="9690" w:type="dxa"/>
            <w:gridSpan w:val="18"/>
          </w:tcPr>
          <w:p w14:paraId="58F2C190" w14:textId="77777777" w:rsidR="00E31789" w:rsidRPr="00FD6257" w:rsidRDefault="00E31789" w:rsidP="00645B98">
            <w:pPr>
              <w:rPr>
                <w:rFonts w:cs="Calibri"/>
                <w:bCs/>
                <w:sz w:val="22"/>
                <w:szCs w:val="22"/>
              </w:rPr>
            </w:pPr>
          </w:p>
        </w:tc>
      </w:tr>
      <w:tr w:rsidR="00E31789" w:rsidRPr="00FD6257" w14:paraId="58F2C194" w14:textId="77777777" w:rsidTr="00645B98">
        <w:tc>
          <w:tcPr>
            <w:tcW w:w="5718" w:type="dxa"/>
            <w:gridSpan w:val="12"/>
            <w:tcBorders>
              <w:top w:val="nil"/>
              <w:left w:val="nil"/>
              <w:bottom w:val="nil"/>
              <w:right w:val="single" w:sz="4" w:space="0" w:color="auto"/>
            </w:tcBorders>
          </w:tcPr>
          <w:p w14:paraId="58F2C192" w14:textId="77777777" w:rsidR="00E31789" w:rsidRPr="00FD6257" w:rsidRDefault="00E31789" w:rsidP="00645B98">
            <w:pPr>
              <w:rPr>
                <w:rFonts w:cs="Calibri"/>
                <w:sz w:val="22"/>
                <w:szCs w:val="22"/>
              </w:rPr>
            </w:pPr>
            <w:r w:rsidRPr="00FD6257">
              <w:rPr>
                <w:rFonts w:cs="Calibri"/>
                <w:sz w:val="22"/>
                <w:szCs w:val="22"/>
              </w:rPr>
              <w:t>Vrsta predmeta / Course type</w:t>
            </w:r>
          </w:p>
        </w:tc>
        <w:tc>
          <w:tcPr>
            <w:tcW w:w="3972" w:type="dxa"/>
            <w:gridSpan w:val="6"/>
            <w:tcBorders>
              <w:top w:val="single" w:sz="4" w:space="0" w:color="auto"/>
              <w:left w:val="single" w:sz="4" w:space="0" w:color="auto"/>
              <w:bottom w:val="single" w:sz="4" w:space="0" w:color="auto"/>
              <w:right w:val="single" w:sz="4" w:space="0" w:color="auto"/>
            </w:tcBorders>
          </w:tcPr>
          <w:p w14:paraId="58F2C193" w14:textId="77777777" w:rsidR="00E31789" w:rsidRPr="00FD6257" w:rsidRDefault="00E31789" w:rsidP="00645B98">
            <w:pPr>
              <w:rPr>
                <w:rFonts w:cs="Calibri"/>
                <w:sz w:val="22"/>
                <w:szCs w:val="22"/>
              </w:rPr>
            </w:pPr>
            <w:r w:rsidRPr="00FD6257">
              <w:rPr>
                <w:rFonts w:cs="Calibri"/>
                <w:b/>
                <w:sz w:val="22"/>
                <w:szCs w:val="22"/>
              </w:rPr>
              <w:t>Obvezni strokovni predmet modula Gospodarskopravni</w:t>
            </w:r>
          </w:p>
        </w:tc>
      </w:tr>
      <w:tr w:rsidR="00E31789" w:rsidRPr="00FD6257" w14:paraId="58F2C197" w14:textId="77777777" w:rsidTr="00645B98">
        <w:tc>
          <w:tcPr>
            <w:tcW w:w="5718" w:type="dxa"/>
            <w:gridSpan w:val="12"/>
          </w:tcPr>
          <w:p w14:paraId="58F2C195" w14:textId="77777777" w:rsidR="00E31789" w:rsidRPr="00FD6257" w:rsidRDefault="00E31789" w:rsidP="00645B98">
            <w:pPr>
              <w:rPr>
                <w:rFonts w:cs="Calibri"/>
                <w:sz w:val="22"/>
                <w:szCs w:val="22"/>
              </w:rPr>
            </w:pPr>
          </w:p>
        </w:tc>
        <w:tc>
          <w:tcPr>
            <w:tcW w:w="3972" w:type="dxa"/>
            <w:gridSpan w:val="6"/>
            <w:tcBorders>
              <w:top w:val="single" w:sz="4" w:space="0" w:color="auto"/>
              <w:left w:val="nil"/>
              <w:bottom w:val="single" w:sz="4" w:space="0" w:color="auto"/>
              <w:right w:val="nil"/>
            </w:tcBorders>
          </w:tcPr>
          <w:p w14:paraId="58F2C196" w14:textId="77777777" w:rsidR="00E31789" w:rsidRPr="00FD6257" w:rsidRDefault="00E31789" w:rsidP="00645B98">
            <w:pPr>
              <w:rPr>
                <w:rFonts w:cs="Calibri"/>
                <w:sz w:val="22"/>
                <w:szCs w:val="22"/>
              </w:rPr>
            </w:pPr>
          </w:p>
        </w:tc>
      </w:tr>
      <w:tr w:rsidR="00E31789" w:rsidRPr="00FD6257" w14:paraId="58F2C19A" w14:textId="77777777" w:rsidTr="00645B98">
        <w:tc>
          <w:tcPr>
            <w:tcW w:w="5718" w:type="dxa"/>
            <w:gridSpan w:val="12"/>
            <w:tcBorders>
              <w:top w:val="nil"/>
              <w:left w:val="nil"/>
              <w:bottom w:val="nil"/>
              <w:right w:val="single" w:sz="4" w:space="0" w:color="auto"/>
            </w:tcBorders>
          </w:tcPr>
          <w:p w14:paraId="58F2C198" w14:textId="77777777" w:rsidR="00E31789" w:rsidRPr="00FD6257" w:rsidRDefault="00E31789" w:rsidP="00645B98">
            <w:pPr>
              <w:rPr>
                <w:rFonts w:cs="Calibri"/>
                <w:sz w:val="22"/>
                <w:szCs w:val="22"/>
              </w:rPr>
            </w:pPr>
            <w:r w:rsidRPr="00FD6257">
              <w:rPr>
                <w:rFonts w:cs="Calibri"/>
                <w:sz w:val="22"/>
                <w:szCs w:val="22"/>
              </w:rPr>
              <w:t>Univerzitetna koda predmeta / University course code:</w:t>
            </w:r>
          </w:p>
        </w:tc>
        <w:tc>
          <w:tcPr>
            <w:tcW w:w="3972" w:type="dxa"/>
            <w:gridSpan w:val="6"/>
            <w:tcBorders>
              <w:top w:val="single" w:sz="4" w:space="0" w:color="auto"/>
              <w:left w:val="single" w:sz="4" w:space="0" w:color="auto"/>
              <w:bottom w:val="single" w:sz="4" w:space="0" w:color="auto"/>
              <w:right w:val="single" w:sz="4" w:space="0" w:color="auto"/>
            </w:tcBorders>
          </w:tcPr>
          <w:p w14:paraId="58F2C199" w14:textId="77777777" w:rsidR="00E31789" w:rsidRPr="00FD6257" w:rsidRDefault="00E31789" w:rsidP="00645B98">
            <w:pPr>
              <w:rPr>
                <w:rFonts w:cs="Calibri"/>
                <w:sz w:val="22"/>
                <w:szCs w:val="22"/>
              </w:rPr>
            </w:pPr>
          </w:p>
        </w:tc>
      </w:tr>
      <w:tr w:rsidR="00E31789" w:rsidRPr="00FD6257" w14:paraId="58F2C19C" w14:textId="77777777" w:rsidTr="00645B98">
        <w:tc>
          <w:tcPr>
            <w:tcW w:w="9690" w:type="dxa"/>
            <w:gridSpan w:val="18"/>
          </w:tcPr>
          <w:p w14:paraId="58F2C19B" w14:textId="77777777" w:rsidR="00E31789" w:rsidRPr="00FD6257" w:rsidRDefault="00E31789" w:rsidP="00645B98">
            <w:pPr>
              <w:rPr>
                <w:rFonts w:cs="Calibri"/>
                <w:sz w:val="22"/>
                <w:szCs w:val="22"/>
              </w:rPr>
            </w:pPr>
          </w:p>
        </w:tc>
      </w:tr>
      <w:tr w:rsidR="00E31789" w:rsidRPr="00FD6257" w14:paraId="58F2C1AA" w14:textId="77777777" w:rsidTr="00645B98">
        <w:tc>
          <w:tcPr>
            <w:tcW w:w="1410" w:type="dxa"/>
            <w:tcBorders>
              <w:top w:val="nil"/>
              <w:left w:val="nil"/>
              <w:bottom w:val="single" w:sz="4" w:space="0" w:color="auto"/>
              <w:right w:val="nil"/>
            </w:tcBorders>
            <w:vAlign w:val="center"/>
          </w:tcPr>
          <w:p w14:paraId="58F2C19D" w14:textId="77777777" w:rsidR="00E31789" w:rsidRPr="00FD6257" w:rsidRDefault="00E31789" w:rsidP="00645B98">
            <w:pPr>
              <w:rPr>
                <w:rFonts w:cs="Calibri"/>
                <w:sz w:val="22"/>
                <w:szCs w:val="22"/>
              </w:rPr>
            </w:pPr>
            <w:r w:rsidRPr="00FD6257">
              <w:rPr>
                <w:rFonts w:cs="Calibri"/>
                <w:sz w:val="22"/>
                <w:szCs w:val="22"/>
              </w:rPr>
              <w:t>Predavanja</w:t>
            </w:r>
          </w:p>
          <w:p w14:paraId="58F2C19E" w14:textId="77777777" w:rsidR="00E31789" w:rsidRPr="00FD6257" w:rsidRDefault="00E31789" w:rsidP="00645B98">
            <w:pPr>
              <w:rPr>
                <w:rFonts w:cs="Calibri"/>
                <w:sz w:val="22"/>
                <w:szCs w:val="22"/>
              </w:rPr>
            </w:pPr>
            <w:r w:rsidRPr="00FD6257">
              <w:rPr>
                <w:rFonts w:cs="Calibri"/>
                <w:sz w:val="22"/>
                <w:szCs w:val="22"/>
              </w:rPr>
              <w:t>Lectures</w:t>
            </w:r>
          </w:p>
        </w:tc>
        <w:tc>
          <w:tcPr>
            <w:tcW w:w="1410" w:type="dxa"/>
            <w:gridSpan w:val="3"/>
            <w:tcBorders>
              <w:top w:val="nil"/>
              <w:left w:val="nil"/>
              <w:bottom w:val="single" w:sz="4" w:space="0" w:color="auto"/>
              <w:right w:val="nil"/>
            </w:tcBorders>
            <w:vAlign w:val="center"/>
          </w:tcPr>
          <w:p w14:paraId="58F2C19F" w14:textId="77777777" w:rsidR="00E31789" w:rsidRPr="00FD6257" w:rsidRDefault="00E31789" w:rsidP="00645B98">
            <w:pPr>
              <w:rPr>
                <w:rFonts w:cs="Calibri"/>
                <w:sz w:val="22"/>
                <w:szCs w:val="22"/>
              </w:rPr>
            </w:pPr>
            <w:r w:rsidRPr="00FD6257">
              <w:rPr>
                <w:rFonts w:cs="Calibri"/>
                <w:sz w:val="22"/>
                <w:szCs w:val="22"/>
              </w:rPr>
              <w:t>Seminar</w:t>
            </w:r>
          </w:p>
          <w:p w14:paraId="58F2C1A0" w14:textId="77777777" w:rsidR="00E31789" w:rsidRPr="00FD6257" w:rsidRDefault="00E31789" w:rsidP="00645B98">
            <w:pPr>
              <w:rPr>
                <w:rFonts w:cs="Calibri"/>
                <w:sz w:val="22"/>
                <w:szCs w:val="22"/>
              </w:rPr>
            </w:pPr>
            <w:r w:rsidRPr="00FD6257">
              <w:rPr>
                <w:rFonts w:cs="Calibri"/>
                <w:sz w:val="22"/>
                <w:szCs w:val="22"/>
              </w:rPr>
              <w:t>Seminar</w:t>
            </w:r>
          </w:p>
        </w:tc>
        <w:tc>
          <w:tcPr>
            <w:tcW w:w="1418" w:type="dxa"/>
            <w:gridSpan w:val="3"/>
            <w:tcBorders>
              <w:top w:val="nil"/>
              <w:left w:val="nil"/>
              <w:bottom w:val="single" w:sz="4" w:space="0" w:color="auto"/>
              <w:right w:val="nil"/>
            </w:tcBorders>
            <w:vAlign w:val="center"/>
          </w:tcPr>
          <w:p w14:paraId="58F2C1A1" w14:textId="77777777" w:rsidR="00E31789" w:rsidRPr="00FD6257" w:rsidRDefault="00E31789" w:rsidP="00645B98">
            <w:pPr>
              <w:rPr>
                <w:rFonts w:cs="Calibri"/>
                <w:sz w:val="22"/>
                <w:szCs w:val="22"/>
              </w:rPr>
            </w:pPr>
            <w:r w:rsidRPr="00FD6257">
              <w:rPr>
                <w:rFonts w:cs="Calibri"/>
                <w:sz w:val="22"/>
                <w:szCs w:val="22"/>
              </w:rPr>
              <w:t>Vaje</w:t>
            </w:r>
          </w:p>
          <w:p w14:paraId="58F2C1A2" w14:textId="77777777" w:rsidR="00E31789" w:rsidRPr="00FD6257" w:rsidRDefault="00E31789" w:rsidP="00645B98">
            <w:pPr>
              <w:rPr>
                <w:rFonts w:cs="Calibri"/>
                <w:sz w:val="22"/>
                <w:szCs w:val="22"/>
              </w:rPr>
            </w:pPr>
            <w:r w:rsidRPr="00FD6257">
              <w:rPr>
                <w:rFonts w:cs="Calibri"/>
                <w:sz w:val="22"/>
                <w:szCs w:val="22"/>
              </w:rPr>
              <w:t>Tutorial</w:t>
            </w:r>
          </w:p>
        </w:tc>
        <w:tc>
          <w:tcPr>
            <w:tcW w:w="1418" w:type="dxa"/>
            <w:gridSpan w:val="4"/>
            <w:tcBorders>
              <w:top w:val="nil"/>
              <w:left w:val="nil"/>
              <w:bottom w:val="single" w:sz="4" w:space="0" w:color="auto"/>
              <w:right w:val="nil"/>
            </w:tcBorders>
            <w:vAlign w:val="center"/>
          </w:tcPr>
          <w:p w14:paraId="58F2C1A3" w14:textId="77777777" w:rsidR="00E31789" w:rsidRPr="00FD6257" w:rsidRDefault="00E31789" w:rsidP="00645B98">
            <w:pPr>
              <w:rPr>
                <w:rFonts w:cs="Calibri"/>
                <w:sz w:val="22"/>
                <w:szCs w:val="22"/>
              </w:rPr>
            </w:pPr>
            <w:r w:rsidRPr="00FD6257">
              <w:rPr>
                <w:rFonts w:cs="Calibri"/>
                <w:sz w:val="22"/>
                <w:szCs w:val="22"/>
              </w:rPr>
              <w:t>Klinične vaje</w:t>
            </w:r>
          </w:p>
          <w:p w14:paraId="58F2C1A4" w14:textId="77777777" w:rsidR="00E31789" w:rsidRPr="00FD6257" w:rsidRDefault="00E31789" w:rsidP="00645B98">
            <w:pPr>
              <w:rPr>
                <w:rFonts w:cs="Calibri"/>
                <w:sz w:val="22"/>
                <w:szCs w:val="22"/>
              </w:rPr>
            </w:pPr>
            <w:r w:rsidRPr="00FD6257">
              <w:rPr>
                <w:rFonts w:cs="Calibri"/>
                <w:sz w:val="22"/>
                <w:szCs w:val="22"/>
              </w:rPr>
              <w:t>work</w:t>
            </w:r>
          </w:p>
        </w:tc>
        <w:tc>
          <w:tcPr>
            <w:tcW w:w="1417" w:type="dxa"/>
            <w:gridSpan w:val="3"/>
            <w:tcBorders>
              <w:top w:val="nil"/>
              <w:left w:val="nil"/>
              <w:bottom w:val="single" w:sz="4" w:space="0" w:color="auto"/>
              <w:right w:val="nil"/>
            </w:tcBorders>
            <w:vAlign w:val="center"/>
          </w:tcPr>
          <w:p w14:paraId="58F2C1A5" w14:textId="77777777" w:rsidR="00E31789" w:rsidRPr="00FD6257" w:rsidRDefault="00E31789" w:rsidP="00645B98">
            <w:pPr>
              <w:rPr>
                <w:rFonts w:cs="Calibri"/>
                <w:sz w:val="22"/>
                <w:szCs w:val="22"/>
              </w:rPr>
            </w:pPr>
            <w:r w:rsidRPr="00FD6257">
              <w:rPr>
                <w:rFonts w:cs="Calibri"/>
                <w:sz w:val="22"/>
                <w:szCs w:val="22"/>
              </w:rPr>
              <w:t>Druge oblike študija</w:t>
            </w:r>
          </w:p>
        </w:tc>
        <w:tc>
          <w:tcPr>
            <w:tcW w:w="1417" w:type="dxa"/>
            <w:gridSpan w:val="2"/>
            <w:tcBorders>
              <w:top w:val="nil"/>
              <w:left w:val="nil"/>
              <w:bottom w:val="single" w:sz="4" w:space="0" w:color="auto"/>
              <w:right w:val="nil"/>
            </w:tcBorders>
            <w:vAlign w:val="center"/>
          </w:tcPr>
          <w:p w14:paraId="58F2C1A6" w14:textId="77777777" w:rsidR="00E31789" w:rsidRPr="00FD6257" w:rsidRDefault="00E31789" w:rsidP="00645B98">
            <w:pPr>
              <w:rPr>
                <w:rFonts w:cs="Calibri"/>
                <w:sz w:val="22"/>
                <w:szCs w:val="22"/>
              </w:rPr>
            </w:pPr>
            <w:r w:rsidRPr="00FD6257">
              <w:rPr>
                <w:rFonts w:cs="Calibri"/>
                <w:sz w:val="22"/>
                <w:szCs w:val="22"/>
              </w:rPr>
              <w:t>Samost. delo</w:t>
            </w:r>
          </w:p>
          <w:p w14:paraId="58F2C1A7" w14:textId="77777777" w:rsidR="00E31789" w:rsidRPr="00FD6257" w:rsidRDefault="00E31789" w:rsidP="00645B98">
            <w:pPr>
              <w:rPr>
                <w:rFonts w:cs="Calibri"/>
                <w:sz w:val="22"/>
                <w:szCs w:val="22"/>
              </w:rPr>
            </w:pPr>
            <w:r w:rsidRPr="00FD6257">
              <w:rPr>
                <w:rFonts w:cs="Calibri"/>
                <w:sz w:val="22"/>
                <w:szCs w:val="22"/>
              </w:rPr>
              <w:t>Individ. work</w:t>
            </w:r>
          </w:p>
        </w:tc>
        <w:tc>
          <w:tcPr>
            <w:tcW w:w="132" w:type="dxa"/>
            <w:vAlign w:val="center"/>
          </w:tcPr>
          <w:p w14:paraId="58F2C1A8" w14:textId="77777777" w:rsidR="00E31789" w:rsidRPr="00FD6257" w:rsidRDefault="00E31789" w:rsidP="00645B98">
            <w:pPr>
              <w:rPr>
                <w:rFonts w:cs="Calibri"/>
                <w:bCs/>
                <w:sz w:val="22"/>
                <w:szCs w:val="22"/>
              </w:rPr>
            </w:pPr>
          </w:p>
        </w:tc>
        <w:tc>
          <w:tcPr>
            <w:tcW w:w="1068" w:type="dxa"/>
            <w:tcBorders>
              <w:top w:val="nil"/>
              <w:left w:val="nil"/>
              <w:bottom w:val="single" w:sz="4" w:space="0" w:color="auto"/>
              <w:right w:val="nil"/>
            </w:tcBorders>
            <w:vAlign w:val="center"/>
          </w:tcPr>
          <w:p w14:paraId="58F2C1A9" w14:textId="77777777" w:rsidR="00E31789" w:rsidRPr="00FD6257" w:rsidRDefault="00E31789" w:rsidP="00645B98">
            <w:pPr>
              <w:rPr>
                <w:rFonts w:cs="Calibri"/>
                <w:sz w:val="22"/>
                <w:szCs w:val="22"/>
              </w:rPr>
            </w:pPr>
            <w:r w:rsidRPr="00FD6257">
              <w:rPr>
                <w:rFonts w:cs="Calibri"/>
                <w:sz w:val="22"/>
                <w:szCs w:val="22"/>
              </w:rPr>
              <w:t>ECTS</w:t>
            </w:r>
          </w:p>
        </w:tc>
      </w:tr>
      <w:tr w:rsidR="00E31789" w:rsidRPr="00FD6257" w14:paraId="58F2C1B3" w14:textId="77777777" w:rsidTr="00645B98">
        <w:trPr>
          <w:trHeight w:val="318"/>
        </w:trPr>
        <w:tc>
          <w:tcPr>
            <w:tcW w:w="1410" w:type="dxa"/>
            <w:tcBorders>
              <w:top w:val="single" w:sz="4" w:space="0" w:color="auto"/>
              <w:left w:val="single" w:sz="4" w:space="0" w:color="auto"/>
              <w:bottom w:val="single" w:sz="4" w:space="0" w:color="auto"/>
              <w:right w:val="single" w:sz="4" w:space="0" w:color="auto"/>
            </w:tcBorders>
            <w:vAlign w:val="center"/>
          </w:tcPr>
          <w:p w14:paraId="58F2C1AB" w14:textId="77777777" w:rsidR="00E31789" w:rsidRPr="00FD6257" w:rsidRDefault="00E31789" w:rsidP="00645B98">
            <w:pPr>
              <w:rPr>
                <w:rFonts w:cs="Calibri"/>
                <w:bCs/>
                <w:sz w:val="22"/>
                <w:szCs w:val="22"/>
              </w:rPr>
            </w:pPr>
            <w:r>
              <w:rPr>
                <w:rFonts w:cs="Calibri"/>
                <w:bCs/>
                <w:sz w:val="22"/>
                <w:szCs w:val="22"/>
              </w:rPr>
              <w:t>45</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58F2C1AC" w14:textId="77777777" w:rsidR="00E31789" w:rsidRPr="00FD6257" w:rsidRDefault="00E31789" w:rsidP="00645B98">
            <w:pPr>
              <w:rPr>
                <w:rFonts w:cs="Calibri"/>
                <w:bCs/>
                <w:sz w:val="22"/>
                <w:szCs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8F2C1AD" w14:textId="77777777" w:rsidR="00E31789" w:rsidRPr="00FD6257" w:rsidRDefault="00E31789" w:rsidP="00645B98">
            <w:pPr>
              <w:rPr>
                <w:rFonts w:cs="Calibri"/>
                <w:bCs/>
                <w:sz w:val="22"/>
                <w:szCs w:val="22"/>
              </w:rPr>
            </w:pPr>
            <w:r>
              <w:rPr>
                <w:rFonts w:cs="Calibri"/>
                <w:bCs/>
                <w:sz w:val="22"/>
                <w:szCs w:val="22"/>
              </w:rPr>
              <w:t>45</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8F2C1AE" w14:textId="77777777" w:rsidR="00E31789" w:rsidRPr="00FD6257" w:rsidRDefault="00E31789" w:rsidP="00645B98">
            <w:pPr>
              <w:rPr>
                <w:rFonts w:cs="Calibri"/>
                <w:bCs/>
                <w:sz w:val="22"/>
                <w:szCs w:val="22"/>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8F2C1AF" w14:textId="77777777" w:rsidR="00E31789" w:rsidRPr="00FD6257" w:rsidRDefault="00E31789" w:rsidP="00645B98">
            <w:pPr>
              <w:rPr>
                <w:rFonts w:cs="Calibri"/>
                <w:bCs/>
                <w:sz w:val="22"/>
                <w:szCs w:val="22"/>
              </w:rPr>
            </w:pPr>
            <w:r>
              <w:rPr>
                <w:rFonts w:cs="Calibri"/>
                <w:bCs/>
                <w:sz w:val="22"/>
                <w:szCs w:val="22"/>
              </w:rPr>
              <w:t>30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8F2C1B0" w14:textId="77777777" w:rsidR="00E31789" w:rsidRPr="00FD6257" w:rsidRDefault="00E31789" w:rsidP="00645B98">
            <w:pPr>
              <w:rPr>
                <w:rFonts w:cs="Calibri"/>
                <w:bCs/>
                <w:sz w:val="22"/>
                <w:szCs w:val="22"/>
              </w:rPr>
            </w:pPr>
            <w:r w:rsidRPr="00FD6257">
              <w:rPr>
                <w:rFonts w:cs="Calibri"/>
                <w:bCs/>
                <w:sz w:val="22"/>
                <w:szCs w:val="22"/>
              </w:rPr>
              <w:t>120</w:t>
            </w:r>
          </w:p>
        </w:tc>
        <w:tc>
          <w:tcPr>
            <w:tcW w:w="132" w:type="dxa"/>
            <w:tcBorders>
              <w:top w:val="nil"/>
              <w:left w:val="single" w:sz="4" w:space="0" w:color="auto"/>
              <w:bottom w:val="nil"/>
              <w:right w:val="single" w:sz="4" w:space="0" w:color="auto"/>
            </w:tcBorders>
            <w:vAlign w:val="center"/>
          </w:tcPr>
          <w:p w14:paraId="58F2C1B1" w14:textId="77777777" w:rsidR="00E31789" w:rsidRPr="00FD6257" w:rsidRDefault="00E31789" w:rsidP="00645B98">
            <w:pPr>
              <w:rPr>
                <w:rFonts w:cs="Calibri"/>
                <w:bCs/>
                <w:sz w:val="22"/>
                <w:szCs w:val="22"/>
              </w:rPr>
            </w:pPr>
          </w:p>
        </w:tc>
        <w:tc>
          <w:tcPr>
            <w:tcW w:w="1068" w:type="dxa"/>
            <w:tcBorders>
              <w:top w:val="single" w:sz="4" w:space="0" w:color="auto"/>
              <w:left w:val="single" w:sz="4" w:space="0" w:color="auto"/>
              <w:bottom w:val="single" w:sz="4" w:space="0" w:color="auto"/>
              <w:right w:val="single" w:sz="4" w:space="0" w:color="auto"/>
            </w:tcBorders>
            <w:vAlign w:val="center"/>
          </w:tcPr>
          <w:p w14:paraId="58F2C1B2" w14:textId="77777777" w:rsidR="00E31789" w:rsidRPr="00FD6257" w:rsidRDefault="00E31789" w:rsidP="00645B98">
            <w:pPr>
              <w:rPr>
                <w:rFonts w:cs="Calibri"/>
                <w:bCs/>
                <w:sz w:val="22"/>
                <w:szCs w:val="22"/>
              </w:rPr>
            </w:pPr>
            <w:r w:rsidRPr="00FD6257">
              <w:rPr>
                <w:rFonts w:cs="Calibri"/>
                <w:bCs/>
                <w:sz w:val="22"/>
                <w:szCs w:val="22"/>
              </w:rPr>
              <w:t>8</w:t>
            </w:r>
          </w:p>
        </w:tc>
      </w:tr>
      <w:tr w:rsidR="00E31789" w:rsidRPr="00FD6257" w14:paraId="58F2C1B5" w14:textId="77777777" w:rsidTr="00645B98">
        <w:tc>
          <w:tcPr>
            <w:tcW w:w="9690" w:type="dxa"/>
            <w:gridSpan w:val="18"/>
          </w:tcPr>
          <w:p w14:paraId="58F2C1B4" w14:textId="77777777" w:rsidR="00E31789" w:rsidRPr="00FD6257" w:rsidRDefault="00E31789" w:rsidP="00645B98">
            <w:pPr>
              <w:rPr>
                <w:rFonts w:cs="Calibri"/>
                <w:bCs/>
                <w:sz w:val="22"/>
                <w:szCs w:val="22"/>
              </w:rPr>
            </w:pPr>
          </w:p>
        </w:tc>
      </w:tr>
      <w:tr w:rsidR="00E31789" w:rsidRPr="00FD6257" w14:paraId="58F2C1B9" w14:textId="77777777" w:rsidTr="00645B98">
        <w:tc>
          <w:tcPr>
            <w:tcW w:w="3307" w:type="dxa"/>
            <w:gridSpan w:val="5"/>
          </w:tcPr>
          <w:p w14:paraId="58F2C1B6" w14:textId="77777777" w:rsidR="00E31789" w:rsidRPr="00FD6257" w:rsidRDefault="00E31789" w:rsidP="00645B98">
            <w:pPr>
              <w:rPr>
                <w:rFonts w:cs="Calibri"/>
                <w:sz w:val="22"/>
                <w:szCs w:val="22"/>
              </w:rPr>
            </w:pPr>
            <w:r w:rsidRPr="00FD6257">
              <w:rPr>
                <w:rFonts w:cs="Calibri"/>
                <w:sz w:val="22"/>
                <w:szCs w:val="22"/>
              </w:rPr>
              <w:t>Nosilec predmeta / Lecturer:</w:t>
            </w:r>
          </w:p>
        </w:tc>
        <w:tc>
          <w:tcPr>
            <w:tcW w:w="6383" w:type="dxa"/>
            <w:gridSpan w:val="13"/>
            <w:tcBorders>
              <w:top w:val="single" w:sz="4" w:space="0" w:color="auto"/>
              <w:left w:val="single" w:sz="4" w:space="0" w:color="auto"/>
              <w:bottom w:val="single" w:sz="4" w:space="0" w:color="auto"/>
              <w:right w:val="single" w:sz="4" w:space="0" w:color="auto"/>
            </w:tcBorders>
          </w:tcPr>
          <w:p w14:paraId="58F2C1B7" w14:textId="2429ACBD" w:rsidR="00E31789" w:rsidRPr="00FD6257" w:rsidRDefault="00E31789" w:rsidP="00B83FEE">
            <w:pPr>
              <w:rPr>
                <w:rFonts w:cs="Calibri"/>
                <w:sz w:val="22"/>
                <w:szCs w:val="22"/>
              </w:rPr>
            </w:pPr>
            <w:bookmarkStart w:id="2" w:name="Predavatelj"/>
            <w:bookmarkEnd w:id="2"/>
            <w:r w:rsidRPr="00FD6257">
              <w:rPr>
                <w:rFonts w:cs="Calibri"/>
                <w:sz w:val="22"/>
                <w:szCs w:val="22"/>
              </w:rPr>
              <w:t xml:space="preserve"> </w:t>
            </w:r>
            <w:r w:rsidR="00B83FEE">
              <w:rPr>
                <w:rFonts w:cs="Calibri"/>
                <w:sz w:val="22"/>
                <w:szCs w:val="22"/>
              </w:rPr>
              <w:t>izr. prof.</w:t>
            </w:r>
            <w:r w:rsidRPr="00FD6257">
              <w:rPr>
                <w:rFonts w:cs="Calibri"/>
                <w:sz w:val="22"/>
                <w:szCs w:val="22"/>
              </w:rPr>
              <w:t xml:space="preserve"> dr. Luka Tičar</w:t>
            </w:r>
          </w:p>
          <w:p w14:paraId="58F2C1B8" w14:textId="77777777" w:rsidR="00E31789" w:rsidRPr="00FD6257" w:rsidRDefault="00E31789" w:rsidP="00645B98">
            <w:pPr>
              <w:rPr>
                <w:rFonts w:cs="Calibri"/>
                <w:sz w:val="22"/>
                <w:szCs w:val="22"/>
              </w:rPr>
            </w:pPr>
          </w:p>
        </w:tc>
      </w:tr>
      <w:tr w:rsidR="00E31789" w:rsidRPr="00FD6257" w14:paraId="58F2C1BB" w14:textId="77777777" w:rsidTr="00645B98">
        <w:tc>
          <w:tcPr>
            <w:tcW w:w="9690" w:type="dxa"/>
            <w:gridSpan w:val="18"/>
          </w:tcPr>
          <w:p w14:paraId="58F2C1BA" w14:textId="77777777" w:rsidR="00E31789" w:rsidRPr="00FD6257" w:rsidRDefault="00E31789" w:rsidP="00645B98">
            <w:pPr>
              <w:rPr>
                <w:rFonts w:cs="Calibri"/>
                <w:sz w:val="22"/>
                <w:szCs w:val="22"/>
              </w:rPr>
            </w:pPr>
          </w:p>
        </w:tc>
      </w:tr>
      <w:tr w:rsidR="00E31789" w:rsidRPr="00FD6257" w14:paraId="58F2C1C0" w14:textId="77777777" w:rsidTr="00645B98">
        <w:tc>
          <w:tcPr>
            <w:tcW w:w="1641" w:type="dxa"/>
            <w:gridSpan w:val="2"/>
            <w:vMerge w:val="restart"/>
          </w:tcPr>
          <w:p w14:paraId="58F2C1BC" w14:textId="77777777" w:rsidR="00E31789" w:rsidRPr="00FD6257" w:rsidRDefault="00E31789" w:rsidP="00645B98">
            <w:pPr>
              <w:rPr>
                <w:rFonts w:cs="Calibri"/>
                <w:sz w:val="22"/>
                <w:szCs w:val="22"/>
              </w:rPr>
            </w:pPr>
            <w:r w:rsidRPr="00FD6257">
              <w:rPr>
                <w:rFonts w:cs="Calibri"/>
                <w:sz w:val="22"/>
                <w:szCs w:val="22"/>
              </w:rPr>
              <w:t xml:space="preserve">Jeziki / </w:t>
            </w:r>
          </w:p>
          <w:p w14:paraId="58F2C1BD" w14:textId="77777777" w:rsidR="00E31789" w:rsidRPr="00FD6257" w:rsidRDefault="00E31789" w:rsidP="00645B98">
            <w:pPr>
              <w:rPr>
                <w:rFonts w:cs="Calibri"/>
                <w:sz w:val="22"/>
                <w:szCs w:val="22"/>
              </w:rPr>
            </w:pPr>
            <w:r w:rsidRPr="00FD6257">
              <w:rPr>
                <w:rFonts w:cs="Calibri"/>
                <w:sz w:val="22"/>
                <w:szCs w:val="22"/>
              </w:rPr>
              <w:t>Languages:</w:t>
            </w:r>
          </w:p>
        </w:tc>
        <w:tc>
          <w:tcPr>
            <w:tcW w:w="2241" w:type="dxa"/>
            <w:gridSpan w:val="4"/>
          </w:tcPr>
          <w:p w14:paraId="58F2C1BE" w14:textId="77777777" w:rsidR="00E31789" w:rsidRPr="00FD6257" w:rsidRDefault="00E31789" w:rsidP="00645B98">
            <w:pPr>
              <w:rPr>
                <w:rFonts w:cs="Calibri"/>
                <w:sz w:val="22"/>
                <w:szCs w:val="22"/>
              </w:rPr>
            </w:pPr>
            <w:r w:rsidRPr="00FD6257">
              <w:rPr>
                <w:rFonts w:cs="Calibri"/>
                <w:sz w:val="22"/>
                <w:szCs w:val="22"/>
              </w:rPr>
              <w:t>Predavanja / Lectures:</w:t>
            </w:r>
          </w:p>
        </w:tc>
        <w:tc>
          <w:tcPr>
            <w:tcW w:w="5808" w:type="dxa"/>
            <w:gridSpan w:val="12"/>
            <w:tcBorders>
              <w:top w:val="single" w:sz="4" w:space="0" w:color="auto"/>
              <w:left w:val="single" w:sz="4" w:space="0" w:color="auto"/>
              <w:bottom w:val="single" w:sz="4" w:space="0" w:color="auto"/>
              <w:right w:val="single" w:sz="4" w:space="0" w:color="auto"/>
            </w:tcBorders>
          </w:tcPr>
          <w:p w14:paraId="58F2C1BF" w14:textId="77777777" w:rsidR="00E31789" w:rsidRPr="00FD6257" w:rsidRDefault="00E31789" w:rsidP="00645B98">
            <w:pPr>
              <w:rPr>
                <w:rFonts w:cs="Calibri"/>
                <w:bCs/>
                <w:sz w:val="22"/>
                <w:szCs w:val="22"/>
              </w:rPr>
            </w:pPr>
            <w:bookmarkStart w:id="3" w:name="Jezik"/>
            <w:bookmarkEnd w:id="3"/>
            <w:r w:rsidRPr="00FD6257">
              <w:rPr>
                <w:rFonts w:cs="Calibri"/>
                <w:b/>
                <w:sz w:val="22"/>
                <w:szCs w:val="22"/>
              </w:rPr>
              <w:t>slovenski</w:t>
            </w:r>
          </w:p>
        </w:tc>
      </w:tr>
      <w:tr w:rsidR="00E31789" w:rsidRPr="00FD6257" w14:paraId="58F2C1C4" w14:textId="77777777" w:rsidTr="00645B98">
        <w:trPr>
          <w:trHeight w:val="215"/>
        </w:trPr>
        <w:tc>
          <w:tcPr>
            <w:tcW w:w="1641" w:type="dxa"/>
            <w:gridSpan w:val="2"/>
            <w:vMerge/>
            <w:vAlign w:val="center"/>
          </w:tcPr>
          <w:p w14:paraId="58F2C1C1" w14:textId="77777777" w:rsidR="00E31789" w:rsidRPr="00FD6257" w:rsidRDefault="00E31789" w:rsidP="00645B98">
            <w:pPr>
              <w:rPr>
                <w:rFonts w:cs="Calibri"/>
                <w:bCs/>
                <w:sz w:val="22"/>
                <w:szCs w:val="22"/>
              </w:rPr>
            </w:pPr>
          </w:p>
        </w:tc>
        <w:tc>
          <w:tcPr>
            <w:tcW w:w="2241" w:type="dxa"/>
            <w:gridSpan w:val="4"/>
          </w:tcPr>
          <w:p w14:paraId="58F2C1C2" w14:textId="77777777" w:rsidR="00E31789" w:rsidRPr="00FD6257" w:rsidRDefault="00E31789" w:rsidP="00645B98">
            <w:pPr>
              <w:rPr>
                <w:rFonts w:cs="Calibri"/>
                <w:sz w:val="22"/>
                <w:szCs w:val="22"/>
              </w:rPr>
            </w:pPr>
            <w:r w:rsidRPr="00FD6257">
              <w:rPr>
                <w:rFonts w:cs="Calibri"/>
                <w:sz w:val="22"/>
                <w:szCs w:val="22"/>
              </w:rPr>
              <w:t>Vaje / Tutorial:</w:t>
            </w:r>
          </w:p>
        </w:tc>
        <w:tc>
          <w:tcPr>
            <w:tcW w:w="5808" w:type="dxa"/>
            <w:gridSpan w:val="12"/>
            <w:tcBorders>
              <w:top w:val="single" w:sz="4" w:space="0" w:color="auto"/>
              <w:left w:val="single" w:sz="4" w:space="0" w:color="auto"/>
              <w:bottom w:val="single" w:sz="4" w:space="0" w:color="auto"/>
              <w:right w:val="single" w:sz="4" w:space="0" w:color="auto"/>
            </w:tcBorders>
          </w:tcPr>
          <w:p w14:paraId="58F2C1C3" w14:textId="77777777" w:rsidR="00E31789" w:rsidRPr="00FD6257" w:rsidRDefault="00E31789" w:rsidP="00645B98">
            <w:pPr>
              <w:rPr>
                <w:rFonts w:cs="Calibri"/>
                <w:bCs/>
                <w:sz w:val="22"/>
                <w:szCs w:val="22"/>
              </w:rPr>
            </w:pPr>
            <w:bookmarkStart w:id="4" w:name="JezikV"/>
            <w:bookmarkEnd w:id="4"/>
          </w:p>
        </w:tc>
      </w:tr>
      <w:tr w:rsidR="00E31789" w:rsidRPr="00FD6257" w14:paraId="58F2C1CB" w14:textId="77777777" w:rsidTr="00645B98">
        <w:tc>
          <w:tcPr>
            <w:tcW w:w="4728" w:type="dxa"/>
            <w:gridSpan w:val="9"/>
            <w:tcBorders>
              <w:top w:val="nil"/>
              <w:left w:val="nil"/>
              <w:bottom w:val="single" w:sz="4" w:space="0" w:color="auto"/>
              <w:right w:val="nil"/>
            </w:tcBorders>
          </w:tcPr>
          <w:p w14:paraId="58F2C1C5" w14:textId="77777777" w:rsidR="00E31789" w:rsidRPr="00FD6257" w:rsidRDefault="00E31789" w:rsidP="00645B98">
            <w:pPr>
              <w:rPr>
                <w:rFonts w:cs="Calibri"/>
                <w:bCs/>
                <w:sz w:val="22"/>
                <w:szCs w:val="22"/>
              </w:rPr>
            </w:pPr>
          </w:p>
          <w:p w14:paraId="58F2C1C6" w14:textId="77777777" w:rsidR="00E31789" w:rsidRPr="00FD6257" w:rsidRDefault="00E31789" w:rsidP="00645B98">
            <w:pPr>
              <w:rPr>
                <w:rFonts w:cs="Calibri"/>
                <w:sz w:val="22"/>
                <w:szCs w:val="22"/>
              </w:rPr>
            </w:pPr>
            <w:r w:rsidRPr="00FD6257">
              <w:rPr>
                <w:rFonts w:cs="Calibri"/>
                <w:sz w:val="22"/>
                <w:szCs w:val="22"/>
              </w:rPr>
              <w:t>Pogoji za vključitev v delo oz. za opravljanje študijskih obveznosti:</w:t>
            </w:r>
          </w:p>
        </w:tc>
        <w:tc>
          <w:tcPr>
            <w:tcW w:w="142" w:type="dxa"/>
          </w:tcPr>
          <w:p w14:paraId="58F2C1C7" w14:textId="77777777" w:rsidR="00E31789" w:rsidRPr="00FD6257" w:rsidRDefault="00E31789" w:rsidP="00645B98">
            <w:pPr>
              <w:rPr>
                <w:rFonts w:cs="Calibri"/>
                <w:sz w:val="22"/>
                <w:szCs w:val="22"/>
              </w:rPr>
            </w:pPr>
          </w:p>
          <w:p w14:paraId="58F2C1C8" w14:textId="77777777" w:rsidR="00E31789" w:rsidRPr="00FD6257" w:rsidRDefault="00E31789" w:rsidP="00645B98">
            <w:pPr>
              <w:rPr>
                <w:rFonts w:cs="Calibri"/>
                <w:sz w:val="22"/>
                <w:szCs w:val="22"/>
              </w:rPr>
            </w:pPr>
          </w:p>
        </w:tc>
        <w:tc>
          <w:tcPr>
            <w:tcW w:w="4820" w:type="dxa"/>
            <w:gridSpan w:val="8"/>
            <w:tcBorders>
              <w:top w:val="nil"/>
              <w:left w:val="nil"/>
              <w:bottom w:val="single" w:sz="4" w:space="0" w:color="auto"/>
              <w:right w:val="nil"/>
            </w:tcBorders>
          </w:tcPr>
          <w:p w14:paraId="58F2C1C9" w14:textId="77777777" w:rsidR="00E31789" w:rsidRPr="00FD6257" w:rsidRDefault="00E31789" w:rsidP="00645B98">
            <w:pPr>
              <w:rPr>
                <w:rFonts w:cs="Calibri"/>
                <w:sz w:val="22"/>
                <w:szCs w:val="22"/>
              </w:rPr>
            </w:pPr>
          </w:p>
          <w:p w14:paraId="58F2C1CA" w14:textId="77777777" w:rsidR="00E31789" w:rsidRPr="00FD6257" w:rsidRDefault="00E31789" w:rsidP="00645B98">
            <w:pPr>
              <w:rPr>
                <w:rFonts w:cs="Calibri"/>
                <w:sz w:val="22"/>
                <w:szCs w:val="22"/>
              </w:rPr>
            </w:pPr>
            <w:r w:rsidRPr="00FD6257">
              <w:rPr>
                <w:rFonts w:cs="Calibri"/>
                <w:sz w:val="22"/>
                <w:szCs w:val="22"/>
              </w:rPr>
              <w:t>Prerequisits:</w:t>
            </w:r>
          </w:p>
        </w:tc>
      </w:tr>
      <w:tr w:rsidR="00E31789" w:rsidRPr="00FD6257" w14:paraId="58F2C1CF" w14:textId="77777777" w:rsidTr="00645B98">
        <w:trPr>
          <w:trHeight w:val="2665"/>
        </w:trPr>
        <w:tc>
          <w:tcPr>
            <w:tcW w:w="4728" w:type="dxa"/>
            <w:gridSpan w:val="9"/>
            <w:tcBorders>
              <w:top w:val="single" w:sz="4" w:space="0" w:color="auto"/>
              <w:left w:val="single" w:sz="4" w:space="0" w:color="auto"/>
              <w:bottom w:val="single" w:sz="4" w:space="0" w:color="auto"/>
              <w:right w:val="single" w:sz="4" w:space="0" w:color="auto"/>
            </w:tcBorders>
          </w:tcPr>
          <w:p w14:paraId="58F2C1CC" w14:textId="77777777" w:rsidR="00E31789" w:rsidRPr="00FD6257" w:rsidRDefault="00E31789" w:rsidP="00645B98">
            <w:pPr>
              <w:rPr>
                <w:rFonts w:cs="Calibri"/>
                <w:sz w:val="22"/>
                <w:szCs w:val="22"/>
              </w:rPr>
            </w:pPr>
          </w:p>
        </w:tc>
        <w:tc>
          <w:tcPr>
            <w:tcW w:w="142" w:type="dxa"/>
            <w:tcBorders>
              <w:top w:val="nil"/>
              <w:left w:val="single" w:sz="4" w:space="0" w:color="auto"/>
              <w:bottom w:val="nil"/>
              <w:right w:val="single" w:sz="4" w:space="0" w:color="auto"/>
            </w:tcBorders>
          </w:tcPr>
          <w:p w14:paraId="58F2C1CD" w14:textId="77777777" w:rsidR="00E31789" w:rsidRPr="00FD6257" w:rsidRDefault="00E31789" w:rsidP="00645B98">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14:paraId="58F2C1CE" w14:textId="77777777" w:rsidR="00E31789" w:rsidRPr="00FD6257" w:rsidRDefault="00E31789" w:rsidP="00645B98">
            <w:pPr>
              <w:rPr>
                <w:rFonts w:cs="Calibri"/>
                <w:sz w:val="22"/>
                <w:szCs w:val="22"/>
              </w:rPr>
            </w:pPr>
          </w:p>
        </w:tc>
      </w:tr>
      <w:tr w:rsidR="00E31789" w:rsidRPr="00FD6257" w14:paraId="58F2C1D5" w14:textId="77777777" w:rsidTr="00645B98">
        <w:trPr>
          <w:trHeight w:val="137"/>
        </w:trPr>
        <w:tc>
          <w:tcPr>
            <w:tcW w:w="4718" w:type="dxa"/>
            <w:gridSpan w:val="8"/>
            <w:tcBorders>
              <w:top w:val="nil"/>
              <w:left w:val="nil"/>
              <w:bottom w:val="single" w:sz="4" w:space="0" w:color="auto"/>
              <w:right w:val="nil"/>
            </w:tcBorders>
          </w:tcPr>
          <w:p w14:paraId="58F2C1D0" w14:textId="77777777" w:rsidR="00E31789" w:rsidRPr="00FD6257" w:rsidRDefault="00E31789" w:rsidP="00645B98">
            <w:pPr>
              <w:rPr>
                <w:rFonts w:cs="Calibri"/>
                <w:sz w:val="22"/>
                <w:szCs w:val="22"/>
              </w:rPr>
            </w:pPr>
          </w:p>
          <w:p w14:paraId="58F2C1D1" w14:textId="77777777" w:rsidR="00E31789" w:rsidRPr="00FD6257" w:rsidRDefault="00E31789" w:rsidP="00645B98">
            <w:pPr>
              <w:rPr>
                <w:rFonts w:cs="Calibri"/>
                <w:sz w:val="22"/>
                <w:szCs w:val="22"/>
              </w:rPr>
            </w:pPr>
            <w:r w:rsidRPr="00FD6257">
              <w:rPr>
                <w:rFonts w:cs="Calibri"/>
                <w:sz w:val="22"/>
                <w:szCs w:val="22"/>
              </w:rPr>
              <w:t xml:space="preserve">Vsebina: </w:t>
            </w:r>
          </w:p>
        </w:tc>
        <w:tc>
          <w:tcPr>
            <w:tcW w:w="152" w:type="dxa"/>
            <w:gridSpan w:val="2"/>
          </w:tcPr>
          <w:p w14:paraId="58F2C1D2" w14:textId="77777777" w:rsidR="00E31789" w:rsidRPr="00FD6257" w:rsidRDefault="00E31789" w:rsidP="00645B98">
            <w:pPr>
              <w:rPr>
                <w:rFonts w:cs="Calibri"/>
                <w:sz w:val="22"/>
                <w:szCs w:val="22"/>
              </w:rPr>
            </w:pPr>
          </w:p>
        </w:tc>
        <w:tc>
          <w:tcPr>
            <w:tcW w:w="4820" w:type="dxa"/>
            <w:gridSpan w:val="8"/>
            <w:tcBorders>
              <w:top w:val="nil"/>
              <w:left w:val="nil"/>
              <w:bottom w:val="single" w:sz="4" w:space="0" w:color="auto"/>
              <w:right w:val="nil"/>
            </w:tcBorders>
          </w:tcPr>
          <w:p w14:paraId="58F2C1D3" w14:textId="77777777" w:rsidR="00E31789" w:rsidRPr="00FD6257" w:rsidRDefault="00E31789" w:rsidP="00645B98">
            <w:pPr>
              <w:rPr>
                <w:rFonts w:cs="Calibri"/>
                <w:sz w:val="22"/>
                <w:szCs w:val="22"/>
              </w:rPr>
            </w:pPr>
          </w:p>
          <w:p w14:paraId="58F2C1D4" w14:textId="77777777" w:rsidR="00E31789" w:rsidRPr="00FD6257" w:rsidRDefault="00E31789" w:rsidP="00645B98">
            <w:pPr>
              <w:rPr>
                <w:rFonts w:cs="Calibri"/>
                <w:sz w:val="22"/>
                <w:szCs w:val="22"/>
              </w:rPr>
            </w:pPr>
            <w:r w:rsidRPr="00FD6257">
              <w:rPr>
                <w:rFonts w:cs="Calibri"/>
                <w:sz w:val="22"/>
                <w:szCs w:val="22"/>
              </w:rPr>
              <w:t>Content (Syllabus outline):</w:t>
            </w:r>
          </w:p>
        </w:tc>
      </w:tr>
      <w:tr w:rsidR="00E31789" w:rsidRPr="00FD6257" w14:paraId="58F2C1FB" w14:textId="77777777" w:rsidTr="00645B98">
        <w:trPr>
          <w:trHeight w:val="2665"/>
        </w:trPr>
        <w:tc>
          <w:tcPr>
            <w:tcW w:w="4718" w:type="dxa"/>
            <w:gridSpan w:val="8"/>
            <w:tcBorders>
              <w:top w:val="single" w:sz="4" w:space="0" w:color="auto"/>
              <w:left w:val="single" w:sz="4" w:space="0" w:color="auto"/>
              <w:bottom w:val="single" w:sz="4" w:space="0" w:color="auto"/>
              <w:right w:val="single" w:sz="4" w:space="0" w:color="auto"/>
            </w:tcBorders>
          </w:tcPr>
          <w:p w14:paraId="58F2C1D6" w14:textId="77777777" w:rsidR="00E31789" w:rsidRPr="00FD6257" w:rsidRDefault="00E31789" w:rsidP="00645B98">
            <w:pPr>
              <w:pStyle w:val="Naslov3"/>
              <w:jc w:val="left"/>
              <w:rPr>
                <w:rFonts w:ascii="Calibri" w:hAnsi="Calibri" w:cs="Calibri"/>
                <w:b w:val="0"/>
                <w:color w:val="auto"/>
                <w:sz w:val="22"/>
                <w:szCs w:val="22"/>
              </w:rPr>
            </w:pPr>
            <w:r w:rsidRPr="00FD6257">
              <w:rPr>
                <w:rFonts w:ascii="Calibri" w:hAnsi="Calibri" w:cs="Calibri"/>
                <w:b w:val="0"/>
                <w:color w:val="auto"/>
                <w:sz w:val="22"/>
                <w:szCs w:val="22"/>
              </w:rPr>
              <w:lastRenderedPageBreak/>
              <w:t>I. Individualno delovno pravo</w:t>
            </w:r>
          </w:p>
          <w:p w14:paraId="58F2C1D7" w14:textId="77777777" w:rsidR="00E31789" w:rsidRPr="00FD6257" w:rsidRDefault="00E31789" w:rsidP="00E31789">
            <w:pPr>
              <w:numPr>
                <w:ilvl w:val="0"/>
                <w:numId w:val="1"/>
              </w:numPr>
              <w:rPr>
                <w:rFonts w:cs="Calibri"/>
                <w:sz w:val="22"/>
                <w:szCs w:val="22"/>
              </w:rPr>
            </w:pPr>
            <w:r w:rsidRPr="00FD6257">
              <w:rPr>
                <w:rFonts w:cs="Calibri"/>
                <w:sz w:val="22"/>
                <w:szCs w:val="22"/>
              </w:rPr>
              <w:t>O primerjalnem delovnem pravu</w:t>
            </w:r>
          </w:p>
          <w:p w14:paraId="58F2C1D8" w14:textId="77777777" w:rsidR="00E31789" w:rsidRPr="00FD6257" w:rsidRDefault="00E31789" w:rsidP="00E31789">
            <w:pPr>
              <w:numPr>
                <w:ilvl w:val="0"/>
                <w:numId w:val="1"/>
              </w:numPr>
              <w:rPr>
                <w:rFonts w:cs="Calibri"/>
                <w:sz w:val="22"/>
                <w:szCs w:val="22"/>
              </w:rPr>
            </w:pPr>
            <w:r w:rsidRPr="00FD6257">
              <w:rPr>
                <w:rFonts w:cs="Calibri"/>
                <w:sz w:val="22"/>
                <w:szCs w:val="22"/>
              </w:rPr>
              <w:t>O pogodbi o zaposlitvi</w:t>
            </w:r>
          </w:p>
          <w:p w14:paraId="58F2C1D9" w14:textId="77777777" w:rsidR="00E31789" w:rsidRPr="00FD6257" w:rsidRDefault="00E31789" w:rsidP="00E31789">
            <w:pPr>
              <w:numPr>
                <w:ilvl w:val="1"/>
                <w:numId w:val="1"/>
              </w:numPr>
              <w:rPr>
                <w:rFonts w:cs="Calibri"/>
                <w:sz w:val="22"/>
                <w:szCs w:val="22"/>
              </w:rPr>
            </w:pPr>
            <w:r w:rsidRPr="00FD6257">
              <w:rPr>
                <w:rFonts w:cs="Calibri"/>
                <w:sz w:val="22"/>
                <w:szCs w:val="22"/>
              </w:rPr>
              <w:t>pravice in obveznosti pogodbenih strank s poudarkom na t.i. dodatnih pravicah in obveznostih</w:t>
            </w:r>
          </w:p>
          <w:p w14:paraId="58F2C1DA" w14:textId="77777777" w:rsidR="00E31789" w:rsidRPr="00FD6257" w:rsidRDefault="00E31789" w:rsidP="00E31789">
            <w:pPr>
              <w:numPr>
                <w:ilvl w:val="1"/>
                <w:numId w:val="1"/>
              </w:numPr>
              <w:rPr>
                <w:rFonts w:cs="Calibri"/>
                <w:sz w:val="22"/>
                <w:szCs w:val="22"/>
              </w:rPr>
            </w:pPr>
            <w:r w:rsidRPr="00FD6257">
              <w:rPr>
                <w:rFonts w:cs="Calibri"/>
                <w:sz w:val="22"/>
                <w:szCs w:val="22"/>
              </w:rPr>
              <w:t>varstvo delavčeve zasebnosti</w:t>
            </w:r>
          </w:p>
          <w:p w14:paraId="58F2C1DB" w14:textId="77777777" w:rsidR="00E31789" w:rsidRPr="00FD6257" w:rsidRDefault="00E31789" w:rsidP="00E31789">
            <w:pPr>
              <w:numPr>
                <w:ilvl w:val="1"/>
                <w:numId w:val="1"/>
              </w:numPr>
              <w:rPr>
                <w:rFonts w:cs="Calibri"/>
                <w:sz w:val="22"/>
                <w:szCs w:val="22"/>
              </w:rPr>
            </w:pPr>
            <w:r w:rsidRPr="00FD6257">
              <w:rPr>
                <w:rFonts w:cs="Calibri"/>
                <w:sz w:val="22"/>
                <w:szCs w:val="22"/>
              </w:rPr>
              <w:t>sklenitev pogodbe o zaposlitvi</w:t>
            </w:r>
          </w:p>
          <w:p w14:paraId="58F2C1DC" w14:textId="77777777" w:rsidR="00E31789" w:rsidRPr="00FD6257" w:rsidRDefault="00E31789" w:rsidP="00E31789">
            <w:pPr>
              <w:numPr>
                <w:ilvl w:val="1"/>
                <w:numId w:val="1"/>
              </w:numPr>
              <w:rPr>
                <w:rFonts w:cs="Calibri"/>
                <w:sz w:val="22"/>
                <w:szCs w:val="22"/>
              </w:rPr>
            </w:pPr>
            <w:r w:rsidRPr="00FD6257">
              <w:rPr>
                <w:rFonts w:cs="Calibri"/>
                <w:sz w:val="22"/>
                <w:szCs w:val="22"/>
              </w:rPr>
              <w:t>sprememba pogodbe o zaposlitvi in odpoved s ponudbo nove pogodbe o zaposlitvi</w:t>
            </w:r>
          </w:p>
          <w:p w14:paraId="58F2C1DD" w14:textId="77777777" w:rsidR="00E31789" w:rsidRPr="00FD6257" w:rsidRDefault="00E31789" w:rsidP="00E31789">
            <w:pPr>
              <w:numPr>
                <w:ilvl w:val="1"/>
                <w:numId w:val="1"/>
              </w:numPr>
              <w:rPr>
                <w:rFonts w:cs="Calibri"/>
                <w:sz w:val="22"/>
                <w:szCs w:val="22"/>
              </w:rPr>
            </w:pPr>
            <w:r w:rsidRPr="00FD6257">
              <w:rPr>
                <w:rFonts w:cs="Calibri"/>
                <w:sz w:val="22"/>
                <w:szCs w:val="22"/>
              </w:rPr>
              <w:t>sprememba delodajalca</w:t>
            </w:r>
          </w:p>
          <w:p w14:paraId="58F2C1DE" w14:textId="77777777" w:rsidR="00E31789" w:rsidRPr="00FD6257" w:rsidRDefault="00E31789" w:rsidP="00E31789">
            <w:pPr>
              <w:numPr>
                <w:ilvl w:val="1"/>
                <w:numId w:val="1"/>
              </w:numPr>
              <w:rPr>
                <w:rFonts w:cs="Calibri"/>
                <w:sz w:val="22"/>
                <w:szCs w:val="22"/>
              </w:rPr>
            </w:pPr>
            <w:r w:rsidRPr="00FD6257">
              <w:rPr>
                <w:rFonts w:cs="Calibri"/>
                <w:sz w:val="22"/>
                <w:szCs w:val="22"/>
              </w:rPr>
              <w:t>prenehanje pogodbe o zaposlitvi</w:t>
            </w:r>
          </w:p>
          <w:p w14:paraId="58F2C1DF" w14:textId="77777777" w:rsidR="00E31789" w:rsidRPr="00FD6257" w:rsidRDefault="00E31789" w:rsidP="00E31789">
            <w:pPr>
              <w:numPr>
                <w:ilvl w:val="0"/>
                <w:numId w:val="1"/>
              </w:numPr>
              <w:rPr>
                <w:rFonts w:cs="Calibri"/>
                <w:sz w:val="22"/>
                <w:szCs w:val="22"/>
              </w:rPr>
            </w:pPr>
            <w:r w:rsidRPr="00FD6257">
              <w:rPr>
                <w:rFonts w:cs="Calibri"/>
                <w:sz w:val="22"/>
                <w:szCs w:val="22"/>
              </w:rPr>
              <w:t>Pravica do plače</w:t>
            </w:r>
          </w:p>
          <w:p w14:paraId="58F2C1E0" w14:textId="77777777" w:rsidR="00E31789" w:rsidRPr="00FD6257" w:rsidRDefault="00E31789" w:rsidP="00E31789">
            <w:pPr>
              <w:numPr>
                <w:ilvl w:val="0"/>
                <w:numId w:val="1"/>
              </w:numPr>
              <w:rPr>
                <w:rFonts w:cs="Calibri"/>
                <w:sz w:val="22"/>
                <w:szCs w:val="22"/>
              </w:rPr>
            </w:pPr>
            <w:r w:rsidRPr="00FD6257">
              <w:rPr>
                <w:rFonts w:cs="Calibri"/>
                <w:sz w:val="22"/>
                <w:szCs w:val="22"/>
              </w:rPr>
              <w:t>Pravico do omejenega delovnega časa in razporejanje delovnega časa</w:t>
            </w:r>
          </w:p>
          <w:p w14:paraId="58F2C1E1" w14:textId="77777777" w:rsidR="00E31789" w:rsidRPr="00FD6257" w:rsidRDefault="00E31789" w:rsidP="00E31789">
            <w:pPr>
              <w:numPr>
                <w:ilvl w:val="0"/>
                <w:numId w:val="1"/>
              </w:numPr>
              <w:rPr>
                <w:rFonts w:cs="Calibri"/>
                <w:sz w:val="22"/>
                <w:szCs w:val="22"/>
              </w:rPr>
            </w:pPr>
            <w:r w:rsidRPr="00FD6257">
              <w:rPr>
                <w:rFonts w:cs="Calibri"/>
                <w:sz w:val="22"/>
                <w:szCs w:val="22"/>
              </w:rPr>
              <w:t>Varstvo invalidov</w:t>
            </w:r>
          </w:p>
          <w:p w14:paraId="58F2C1E2" w14:textId="77777777" w:rsidR="00E31789" w:rsidRPr="00FD6257" w:rsidRDefault="00E31789" w:rsidP="00645B98">
            <w:pPr>
              <w:rPr>
                <w:rFonts w:cs="Calibri"/>
                <w:sz w:val="22"/>
                <w:szCs w:val="22"/>
              </w:rPr>
            </w:pPr>
            <w:r w:rsidRPr="00FD6257">
              <w:rPr>
                <w:rFonts w:cs="Calibri"/>
                <w:sz w:val="22"/>
                <w:szCs w:val="22"/>
              </w:rPr>
              <w:t>II.</w:t>
            </w:r>
            <w:r>
              <w:rPr>
                <w:rFonts w:cs="Calibri"/>
                <w:sz w:val="22"/>
                <w:szCs w:val="22"/>
              </w:rPr>
              <w:t xml:space="preserve"> </w:t>
            </w:r>
            <w:r w:rsidRPr="00FD6257">
              <w:rPr>
                <w:rFonts w:cs="Calibri"/>
                <w:sz w:val="22"/>
                <w:szCs w:val="22"/>
              </w:rPr>
              <w:t>Kolektivno delovno pravo</w:t>
            </w:r>
          </w:p>
          <w:p w14:paraId="58F2C1E3" w14:textId="77777777" w:rsidR="00E31789" w:rsidRPr="00FD6257" w:rsidRDefault="00E31789" w:rsidP="00E31789">
            <w:pPr>
              <w:pStyle w:val="Noga"/>
              <w:numPr>
                <w:ilvl w:val="0"/>
                <w:numId w:val="2"/>
              </w:numPr>
              <w:tabs>
                <w:tab w:val="clear" w:pos="4320"/>
                <w:tab w:val="clear" w:pos="8640"/>
              </w:tabs>
              <w:rPr>
                <w:rFonts w:ascii="Calibri" w:hAnsi="Calibri" w:cs="Calibri"/>
                <w:sz w:val="22"/>
                <w:szCs w:val="22"/>
              </w:rPr>
            </w:pPr>
            <w:r w:rsidRPr="00FD6257">
              <w:rPr>
                <w:rFonts w:ascii="Calibri" w:hAnsi="Calibri" w:cs="Calibri"/>
                <w:sz w:val="22"/>
                <w:szCs w:val="22"/>
              </w:rPr>
              <w:t>Sindikalna svoboda- njeno bistvo glede na ureditev v mednarodnih normah</w:t>
            </w:r>
          </w:p>
          <w:p w14:paraId="58F2C1E4" w14:textId="77777777" w:rsidR="00E31789" w:rsidRPr="00FD6257" w:rsidRDefault="00E31789" w:rsidP="00E31789">
            <w:pPr>
              <w:pStyle w:val="Noga"/>
              <w:numPr>
                <w:ilvl w:val="0"/>
                <w:numId w:val="2"/>
              </w:numPr>
              <w:tabs>
                <w:tab w:val="clear" w:pos="4320"/>
                <w:tab w:val="clear" w:pos="8640"/>
              </w:tabs>
              <w:rPr>
                <w:rFonts w:ascii="Calibri" w:hAnsi="Calibri" w:cs="Calibri"/>
                <w:sz w:val="22"/>
                <w:szCs w:val="22"/>
              </w:rPr>
            </w:pPr>
            <w:r w:rsidRPr="00FD6257">
              <w:rPr>
                <w:rFonts w:ascii="Calibri" w:hAnsi="Calibri" w:cs="Calibri"/>
                <w:sz w:val="22"/>
                <w:szCs w:val="22"/>
              </w:rPr>
              <w:t>Sindikalni pluralizem in reprezentativnost</w:t>
            </w:r>
          </w:p>
          <w:p w14:paraId="58F2C1E5" w14:textId="77777777" w:rsidR="00E31789" w:rsidRPr="00FD6257" w:rsidRDefault="00E31789" w:rsidP="00E31789">
            <w:pPr>
              <w:pStyle w:val="Noga"/>
              <w:numPr>
                <w:ilvl w:val="0"/>
                <w:numId w:val="2"/>
              </w:numPr>
              <w:tabs>
                <w:tab w:val="clear" w:pos="4320"/>
                <w:tab w:val="clear" w:pos="8640"/>
              </w:tabs>
              <w:rPr>
                <w:rFonts w:ascii="Calibri" w:hAnsi="Calibri" w:cs="Calibri"/>
                <w:sz w:val="22"/>
                <w:szCs w:val="22"/>
              </w:rPr>
            </w:pPr>
            <w:r w:rsidRPr="00FD6257">
              <w:rPr>
                <w:rFonts w:ascii="Calibri" w:hAnsi="Calibri" w:cs="Calibri"/>
                <w:sz w:val="22"/>
                <w:szCs w:val="22"/>
              </w:rPr>
              <w:t>Kolektivno pogajanje- kolektivne pogodbe</w:t>
            </w:r>
          </w:p>
          <w:p w14:paraId="58F2C1E6" w14:textId="77777777" w:rsidR="00E31789" w:rsidRPr="00FD6257" w:rsidRDefault="00E31789" w:rsidP="00E31789">
            <w:pPr>
              <w:numPr>
                <w:ilvl w:val="1"/>
                <w:numId w:val="1"/>
              </w:numPr>
              <w:rPr>
                <w:rFonts w:cs="Calibri"/>
                <w:sz w:val="22"/>
                <w:szCs w:val="22"/>
              </w:rPr>
            </w:pPr>
            <w:r w:rsidRPr="00FD6257">
              <w:rPr>
                <w:rFonts w:cs="Calibri"/>
                <w:sz w:val="22"/>
                <w:szCs w:val="22"/>
              </w:rPr>
              <w:t>splošno o kolektivnem pogajanju v svetu</w:t>
            </w:r>
          </w:p>
          <w:p w14:paraId="58F2C1E7" w14:textId="77777777" w:rsidR="00E31789" w:rsidRPr="00FD6257" w:rsidRDefault="00E31789" w:rsidP="00E31789">
            <w:pPr>
              <w:numPr>
                <w:ilvl w:val="1"/>
                <w:numId w:val="1"/>
              </w:numPr>
              <w:rPr>
                <w:rFonts w:cs="Calibri"/>
                <w:sz w:val="22"/>
                <w:szCs w:val="22"/>
              </w:rPr>
            </w:pPr>
            <w:r w:rsidRPr="00FD6257">
              <w:rPr>
                <w:rFonts w:cs="Calibri"/>
                <w:sz w:val="22"/>
                <w:szCs w:val="22"/>
              </w:rPr>
              <w:t>obvezno in neposredno učinkovanje kolektivne pogodbe</w:t>
            </w:r>
          </w:p>
          <w:p w14:paraId="58F2C1E8" w14:textId="77777777" w:rsidR="00E31789" w:rsidRPr="00FD6257" w:rsidRDefault="00E31789" w:rsidP="00E31789">
            <w:pPr>
              <w:numPr>
                <w:ilvl w:val="1"/>
                <w:numId w:val="1"/>
              </w:numPr>
              <w:rPr>
                <w:rFonts w:cs="Calibri"/>
                <w:sz w:val="22"/>
                <w:szCs w:val="22"/>
              </w:rPr>
            </w:pPr>
            <w:r w:rsidRPr="00FD6257">
              <w:rPr>
                <w:rFonts w:cs="Calibri"/>
                <w:sz w:val="22"/>
                <w:szCs w:val="22"/>
              </w:rPr>
              <w:t>začetek in konec učinkovanja kolektivne pogodbe</w:t>
            </w:r>
          </w:p>
          <w:p w14:paraId="58F2C1E9" w14:textId="77777777" w:rsidR="00E31789" w:rsidRPr="00FD6257" w:rsidRDefault="00E31789" w:rsidP="00E31789">
            <w:pPr>
              <w:numPr>
                <w:ilvl w:val="1"/>
                <w:numId w:val="1"/>
              </w:numPr>
              <w:rPr>
                <w:rFonts w:cs="Calibri"/>
                <w:sz w:val="22"/>
                <w:szCs w:val="22"/>
              </w:rPr>
            </w:pPr>
            <w:r w:rsidRPr="00FD6257">
              <w:rPr>
                <w:rFonts w:cs="Calibri"/>
                <w:sz w:val="22"/>
                <w:szCs w:val="22"/>
              </w:rPr>
              <w:t xml:space="preserve">osebna stvarna in krajevna veljavnost kolektivne pogodbe </w:t>
            </w:r>
          </w:p>
          <w:p w14:paraId="58F2C1EA" w14:textId="77777777" w:rsidR="00E31789" w:rsidRPr="00FD6257" w:rsidRDefault="00E31789" w:rsidP="00E31789">
            <w:pPr>
              <w:numPr>
                <w:ilvl w:val="1"/>
                <w:numId w:val="1"/>
              </w:numPr>
              <w:rPr>
                <w:rFonts w:cs="Calibri"/>
                <w:sz w:val="22"/>
                <w:szCs w:val="22"/>
              </w:rPr>
            </w:pPr>
            <w:r w:rsidRPr="00FD6257">
              <w:rPr>
                <w:rFonts w:cs="Calibri"/>
                <w:sz w:val="22"/>
                <w:szCs w:val="22"/>
              </w:rPr>
              <w:t>reševanje konfliktov med kolektivnimi pogodbami</w:t>
            </w:r>
          </w:p>
          <w:p w14:paraId="58F2C1EB" w14:textId="77777777" w:rsidR="00E31789" w:rsidRPr="00FD6257" w:rsidRDefault="00E31789" w:rsidP="00E31789">
            <w:pPr>
              <w:numPr>
                <w:ilvl w:val="1"/>
                <w:numId w:val="1"/>
              </w:numPr>
              <w:rPr>
                <w:rFonts w:cs="Calibri"/>
                <w:sz w:val="22"/>
                <w:szCs w:val="22"/>
              </w:rPr>
            </w:pPr>
            <w:r w:rsidRPr="00FD6257">
              <w:rPr>
                <w:rFonts w:cs="Calibri"/>
                <w:sz w:val="22"/>
                <w:szCs w:val="22"/>
              </w:rPr>
              <w:t>razširitev kolektivne pogodbe</w:t>
            </w:r>
          </w:p>
          <w:p w14:paraId="58F2C1EC" w14:textId="77777777" w:rsidR="00E31789" w:rsidRPr="00FD6257" w:rsidRDefault="00E31789" w:rsidP="00E31789">
            <w:pPr>
              <w:numPr>
                <w:ilvl w:val="1"/>
                <w:numId w:val="1"/>
              </w:numPr>
              <w:rPr>
                <w:rFonts w:cs="Calibri"/>
                <w:sz w:val="22"/>
                <w:szCs w:val="22"/>
              </w:rPr>
            </w:pPr>
            <w:r w:rsidRPr="00FD6257">
              <w:rPr>
                <w:rFonts w:cs="Calibri"/>
                <w:sz w:val="22"/>
                <w:szCs w:val="22"/>
              </w:rPr>
              <w:t>socialni mir</w:t>
            </w:r>
          </w:p>
          <w:p w14:paraId="58F2C1ED" w14:textId="77777777" w:rsidR="00E31789" w:rsidRPr="00FD6257" w:rsidRDefault="00E31789" w:rsidP="00E31789">
            <w:pPr>
              <w:numPr>
                <w:ilvl w:val="0"/>
                <w:numId w:val="2"/>
              </w:numPr>
              <w:rPr>
                <w:rFonts w:cs="Calibri"/>
                <w:sz w:val="22"/>
                <w:szCs w:val="22"/>
              </w:rPr>
            </w:pPr>
            <w:r w:rsidRPr="00FD6257">
              <w:rPr>
                <w:rFonts w:cs="Calibri"/>
                <w:sz w:val="22"/>
                <w:szCs w:val="22"/>
              </w:rPr>
              <w:t>Omejevanje pravice delavcev do stavke</w:t>
            </w:r>
          </w:p>
          <w:p w14:paraId="58F2C1EE" w14:textId="77777777" w:rsidR="00E31789" w:rsidRPr="00FD6257" w:rsidRDefault="00E31789" w:rsidP="00E31789">
            <w:pPr>
              <w:numPr>
                <w:ilvl w:val="0"/>
                <w:numId w:val="2"/>
              </w:numPr>
              <w:rPr>
                <w:rFonts w:cs="Calibri"/>
                <w:sz w:val="22"/>
                <w:szCs w:val="22"/>
              </w:rPr>
            </w:pPr>
            <w:r w:rsidRPr="00FD6257">
              <w:rPr>
                <w:rFonts w:cs="Calibri"/>
                <w:sz w:val="22"/>
                <w:szCs w:val="22"/>
              </w:rPr>
              <w:t>O kolektivnem predstavništvu delavcev v podjetju</w:t>
            </w:r>
          </w:p>
          <w:p w14:paraId="58F2C1EF" w14:textId="77777777" w:rsidR="00E31789" w:rsidRPr="00FD6257" w:rsidRDefault="00E31789" w:rsidP="00645B98">
            <w:pPr>
              <w:pStyle w:val="Naslov3"/>
              <w:jc w:val="left"/>
              <w:rPr>
                <w:rFonts w:ascii="Calibri" w:hAnsi="Calibri" w:cs="Calibri"/>
                <w:b w:val="0"/>
                <w:color w:val="auto"/>
                <w:sz w:val="22"/>
                <w:szCs w:val="22"/>
              </w:rPr>
            </w:pPr>
            <w:r w:rsidRPr="00FD6257">
              <w:rPr>
                <w:rFonts w:ascii="Calibri" w:hAnsi="Calibri" w:cs="Calibri"/>
                <w:b w:val="0"/>
                <w:color w:val="auto"/>
                <w:sz w:val="22"/>
                <w:szCs w:val="22"/>
              </w:rPr>
              <w:t>III. Postopek</w:t>
            </w:r>
          </w:p>
          <w:p w14:paraId="58F2C1F0" w14:textId="77777777" w:rsidR="00E31789" w:rsidRPr="00FD6257" w:rsidRDefault="00E31789" w:rsidP="00E31789">
            <w:pPr>
              <w:numPr>
                <w:ilvl w:val="0"/>
                <w:numId w:val="3"/>
              </w:numPr>
              <w:rPr>
                <w:rFonts w:cs="Calibri"/>
                <w:sz w:val="22"/>
                <w:szCs w:val="22"/>
              </w:rPr>
            </w:pPr>
            <w:r w:rsidRPr="00FD6257">
              <w:rPr>
                <w:rFonts w:cs="Calibri"/>
                <w:sz w:val="22"/>
                <w:szCs w:val="22"/>
              </w:rPr>
              <w:t>Načelo pospešitve postopka</w:t>
            </w:r>
          </w:p>
          <w:p w14:paraId="58F2C1F1" w14:textId="77777777" w:rsidR="00E31789" w:rsidRPr="00FD6257" w:rsidRDefault="00E31789" w:rsidP="00E31789">
            <w:pPr>
              <w:numPr>
                <w:ilvl w:val="0"/>
                <w:numId w:val="3"/>
              </w:numPr>
              <w:rPr>
                <w:rFonts w:cs="Calibri"/>
                <w:sz w:val="22"/>
                <w:szCs w:val="22"/>
              </w:rPr>
            </w:pPr>
            <w:r w:rsidRPr="00FD6257">
              <w:rPr>
                <w:rFonts w:cs="Calibri"/>
                <w:sz w:val="22"/>
                <w:szCs w:val="22"/>
              </w:rPr>
              <w:t>Obrnjeno dokazno breme</w:t>
            </w:r>
          </w:p>
          <w:p w14:paraId="58F2C1F2" w14:textId="77777777" w:rsidR="00E31789" w:rsidRPr="00FD6257" w:rsidRDefault="00E31789" w:rsidP="00E31789">
            <w:pPr>
              <w:numPr>
                <w:ilvl w:val="0"/>
                <w:numId w:val="3"/>
              </w:numPr>
              <w:rPr>
                <w:rFonts w:cs="Calibri"/>
                <w:sz w:val="22"/>
                <w:szCs w:val="22"/>
              </w:rPr>
            </w:pPr>
            <w:r w:rsidRPr="00FD6257">
              <w:rPr>
                <w:rFonts w:cs="Calibri"/>
                <w:sz w:val="22"/>
                <w:szCs w:val="22"/>
              </w:rPr>
              <w:t>Spori o obstoju delovnega razmerja</w:t>
            </w:r>
          </w:p>
          <w:p w14:paraId="58F2C1F3" w14:textId="77777777" w:rsidR="00E31789" w:rsidRPr="00FD6257" w:rsidRDefault="00E31789" w:rsidP="00E31789">
            <w:pPr>
              <w:numPr>
                <w:ilvl w:val="0"/>
                <w:numId w:val="3"/>
              </w:numPr>
              <w:rPr>
                <w:rFonts w:cs="Calibri"/>
                <w:sz w:val="22"/>
                <w:szCs w:val="22"/>
              </w:rPr>
            </w:pPr>
            <w:r w:rsidRPr="00FD6257">
              <w:rPr>
                <w:rFonts w:cs="Calibri"/>
                <w:sz w:val="22"/>
                <w:szCs w:val="22"/>
              </w:rPr>
              <w:t>Poravnava v individualnih in kolektivnih delovnih sporih</w:t>
            </w:r>
          </w:p>
          <w:p w14:paraId="58F2C1F4" w14:textId="77777777" w:rsidR="00E31789" w:rsidRPr="00FD6257" w:rsidRDefault="00E31789" w:rsidP="00E31789">
            <w:pPr>
              <w:numPr>
                <w:ilvl w:val="0"/>
                <w:numId w:val="3"/>
              </w:numPr>
              <w:rPr>
                <w:rFonts w:cs="Calibri"/>
                <w:sz w:val="22"/>
                <w:szCs w:val="22"/>
              </w:rPr>
            </w:pPr>
            <w:r w:rsidRPr="00FD6257">
              <w:rPr>
                <w:rFonts w:cs="Calibri"/>
                <w:sz w:val="22"/>
                <w:szCs w:val="22"/>
              </w:rPr>
              <w:t>Procesna predpostavka v kolektivnih delovnih sporih</w:t>
            </w:r>
          </w:p>
          <w:p w14:paraId="58F2C1F5" w14:textId="77777777" w:rsidR="00E31789" w:rsidRPr="00FD6257" w:rsidRDefault="00E31789" w:rsidP="00E31789">
            <w:pPr>
              <w:numPr>
                <w:ilvl w:val="0"/>
                <w:numId w:val="3"/>
              </w:numPr>
              <w:rPr>
                <w:rFonts w:cs="Calibri"/>
                <w:sz w:val="22"/>
                <w:szCs w:val="22"/>
              </w:rPr>
            </w:pPr>
            <w:r w:rsidRPr="00FD6257">
              <w:rPr>
                <w:rFonts w:cs="Calibri"/>
                <w:sz w:val="22"/>
                <w:szCs w:val="22"/>
              </w:rPr>
              <w:t>Aktivna legitimacija v kolektivnih delovnih sporih</w:t>
            </w:r>
          </w:p>
          <w:p w14:paraId="58F2C1F6" w14:textId="77777777" w:rsidR="00E31789" w:rsidRPr="00FD6257" w:rsidRDefault="00E31789" w:rsidP="00E31789">
            <w:pPr>
              <w:numPr>
                <w:ilvl w:val="0"/>
                <w:numId w:val="3"/>
              </w:numPr>
              <w:rPr>
                <w:rFonts w:cs="Calibri"/>
                <w:sz w:val="22"/>
                <w:szCs w:val="22"/>
              </w:rPr>
            </w:pPr>
            <w:r w:rsidRPr="00FD6257">
              <w:rPr>
                <w:rFonts w:cs="Calibri"/>
                <w:sz w:val="22"/>
                <w:szCs w:val="22"/>
              </w:rPr>
              <w:t>Spori o zakonitosti stavke</w:t>
            </w:r>
          </w:p>
          <w:p w14:paraId="58F2C1F7" w14:textId="77777777" w:rsidR="00E31789" w:rsidRPr="00FD6257" w:rsidRDefault="00E31789" w:rsidP="00E31789">
            <w:pPr>
              <w:numPr>
                <w:ilvl w:val="0"/>
                <w:numId w:val="3"/>
              </w:numPr>
              <w:rPr>
                <w:rFonts w:cs="Calibri"/>
                <w:sz w:val="22"/>
                <w:szCs w:val="22"/>
              </w:rPr>
            </w:pPr>
            <w:r w:rsidRPr="00FD6257">
              <w:rPr>
                <w:rFonts w:cs="Calibri"/>
                <w:sz w:val="22"/>
                <w:szCs w:val="22"/>
              </w:rPr>
              <w:t>Pravna sredstva v delovnih sporih</w:t>
            </w:r>
          </w:p>
          <w:p w14:paraId="58F2C1F8" w14:textId="77777777" w:rsidR="00E31789" w:rsidRPr="00FD6257" w:rsidRDefault="00E31789" w:rsidP="00645B98">
            <w:pPr>
              <w:rPr>
                <w:rFonts w:cs="Calibri"/>
                <w:sz w:val="22"/>
                <w:szCs w:val="22"/>
              </w:rPr>
            </w:pPr>
            <w:r w:rsidRPr="00FD6257">
              <w:rPr>
                <w:rFonts w:cs="Calibri"/>
                <w:sz w:val="22"/>
                <w:szCs w:val="22"/>
              </w:rPr>
              <w:t>Izvensodno reševanje delovnih sporov</w:t>
            </w:r>
          </w:p>
        </w:tc>
        <w:tc>
          <w:tcPr>
            <w:tcW w:w="152" w:type="dxa"/>
            <w:gridSpan w:val="2"/>
            <w:tcBorders>
              <w:top w:val="nil"/>
              <w:left w:val="single" w:sz="4" w:space="0" w:color="auto"/>
              <w:bottom w:val="nil"/>
              <w:right w:val="single" w:sz="4" w:space="0" w:color="auto"/>
            </w:tcBorders>
          </w:tcPr>
          <w:p w14:paraId="58F2C1F9" w14:textId="77777777" w:rsidR="00E31789" w:rsidRPr="00FD6257" w:rsidRDefault="00E31789" w:rsidP="00645B98">
            <w:pPr>
              <w:rPr>
                <w:rFonts w:cs="Calibri"/>
                <w:sz w:val="22"/>
                <w:szCs w:val="22"/>
              </w:rPr>
            </w:pPr>
          </w:p>
        </w:tc>
        <w:tc>
          <w:tcPr>
            <w:tcW w:w="4820" w:type="dxa"/>
            <w:gridSpan w:val="8"/>
            <w:tcBorders>
              <w:top w:val="single" w:sz="4" w:space="0" w:color="auto"/>
              <w:left w:val="single" w:sz="4" w:space="0" w:color="auto"/>
              <w:bottom w:val="single" w:sz="4" w:space="0" w:color="auto"/>
              <w:right w:val="single" w:sz="4" w:space="0" w:color="auto"/>
            </w:tcBorders>
          </w:tcPr>
          <w:p w14:paraId="58F2C1FA" w14:textId="77777777" w:rsidR="00E31789" w:rsidRPr="00FD6257" w:rsidRDefault="00E31789" w:rsidP="00645B98">
            <w:pPr>
              <w:rPr>
                <w:rFonts w:cs="Calibri"/>
                <w:sz w:val="22"/>
                <w:szCs w:val="22"/>
              </w:rPr>
            </w:pPr>
          </w:p>
        </w:tc>
      </w:tr>
    </w:tbl>
    <w:p w14:paraId="58F2C1FC" w14:textId="77777777" w:rsidR="00E31789" w:rsidRPr="00FD6257" w:rsidRDefault="00E31789" w:rsidP="00E31789">
      <w:pPr>
        <w:rPr>
          <w:rFonts w:cs="Calibri"/>
          <w:sz w:val="22"/>
          <w:szCs w:val="22"/>
        </w:rPr>
      </w:pPr>
    </w:p>
    <w:tbl>
      <w:tblPr>
        <w:tblW w:w="9690" w:type="dxa"/>
        <w:tblLayout w:type="fixed"/>
        <w:tblCellMar>
          <w:left w:w="56" w:type="dxa"/>
          <w:right w:w="56" w:type="dxa"/>
        </w:tblCellMar>
        <w:tblLook w:val="00A0" w:firstRow="1" w:lastRow="0" w:firstColumn="1" w:lastColumn="0" w:noHBand="0" w:noVBand="0"/>
      </w:tblPr>
      <w:tblGrid>
        <w:gridCol w:w="4020"/>
        <w:gridCol w:w="697"/>
        <w:gridCol w:w="10"/>
        <w:gridCol w:w="142"/>
        <w:gridCol w:w="711"/>
        <w:gridCol w:w="4110"/>
      </w:tblGrid>
      <w:tr w:rsidR="00E31789" w:rsidRPr="00FD6257" w14:paraId="58F2C1FE" w14:textId="77777777" w:rsidTr="00645B98">
        <w:tc>
          <w:tcPr>
            <w:tcW w:w="9695" w:type="dxa"/>
            <w:gridSpan w:val="6"/>
          </w:tcPr>
          <w:p w14:paraId="58F2C1FD" w14:textId="77777777" w:rsidR="00E31789" w:rsidRPr="00FD6257" w:rsidRDefault="00E31789" w:rsidP="00645B98">
            <w:pPr>
              <w:rPr>
                <w:rFonts w:cs="Calibri"/>
                <w:sz w:val="22"/>
                <w:szCs w:val="22"/>
              </w:rPr>
            </w:pPr>
            <w:r w:rsidRPr="00FD6257">
              <w:rPr>
                <w:rFonts w:cs="Calibri"/>
                <w:sz w:val="22"/>
                <w:szCs w:val="22"/>
              </w:rPr>
              <w:lastRenderedPageBreak/>
              <w:br w:type="page"/>
              <w:t>Temeljni literatura in viri / Readings:</w:t>
            </w:r>
          </w:p>
        </w:tc>
      </w:tr>
      <w:tr w:rsidR="00E31789" w:rsidRPr="00FD6257" w14:paraId="58F2C20F" w14:textId="77777777" w:rsidTr="00645B98">
        <w:trPr>
          <w:trHeight w:val="2074"/>
        </w:trPr>
        <w:tc>
          <w:tcPr>
            <w:tcW w:w="9695" w:type="dxa"/>
            <w:gridSpan w:val="6"/>
            <w:tcBorders>
              <w:top w:val="single" w:sz="4" w:space="0" w:color="auto"/>
              <w:left w:val="single" w:sz="4" w:space="0" w:color="auto"/>
              <w:bottom w:val="single" w:sz="4" w:space="0" w:color="auto"/>
              <w:right w:val="single" w:sz="4" w:space="0" w:color="auto"/>
            </w:tcBorders>
          </w:tcPr>
          <w:p w14:paraId="17C72EE3" w14:textId="46251E9D" w:rsidR="00EF0EAA" w:rsidRPr="00C83E74" w:rsidRDefault="00EF0EAA" w:rsidP="00645B98">
            <w:pPr>
              <w:rPr>
                <w:b/>
                <w:sz w:val="20"/>
                <w:u w:val="single"/>
              </w:rPr>
            </w:pPr>
            <w:bookmarkStart w:id="5" w:name="Ucbeniki"/>
            <w:bookmarkEnd w:id="5"/>
            <w:r w:rsidRPr="00C83E74">
              <w:rPr>
                <w:b/>
                <w:sz w:val="20"/>
                <w:u w:val="single"/>
              </w:rPr>
              <w:t>Obvezna literatura:</w:t>
            </w:r>
          </w:p>
          <w:p w14:paraId="58F2C201" w14:textId="0B4874E3" w:rsidR="00B83FEE" w:rsidRPr="005D1E90" w:rsidRDefault="00B83FEE" w:rsidP="00B83FEE">
            <w:pPr>
              <w:rPr>
                <w:sz w:val="20"/>
              </w:rPr>
            </w:pPr>
            <w:r w:rsidRPr="005D1E90">
              <w:rPr>
                <w:sz w:val="20"/>
              </w:rPr>
              <w:t xml:space="preserve">Tičar Luka, </w:t>
            </w:r>
            <w:r>
              <w:rPr>
                <w:sz w:val="20"/>
              </w:rPr>
              <w:t>primerno in učinkovito delovnopravno varstvo- Izziv za sedanjost in prihodnost</w:t>
            </w:r>
            <w:r w:rsidRPr="005D1E90">
              <w:rPr>
                <w:sz w:val="20"/>
              </w:rPr>
              <w:t>,</w:t>
            </w:r>
            <w:r>
              <w:rPr>
                <w:sz w:val="20"/>
              </w:rPr>
              <w:t xml:space="preserve"> Litteralis,</w:t>
            </w:r>
            <w:r w:rsidRPr="005D1E90">
              <w:rPr>
                <w:sz w:val="20"/>
              </w:rPr>
              <w:t xml:space="preserve"> Pravna fakulteta</w:t>
            </w:r>
            <w:r>
              <w:rPr>
                <w:sz w:val="20"/>
              </w:rPr>
              <w:t>,</w:t>
            </w:r>
            <w:r w:rsidRPr="005D1E90">
              <w:rPr>
                <w:sz w:val="20"/>
              </w:rPr>
              <w:t xml:space="preserve">  Ljubljan</w:t>
            </w:r>
            <w:r>
              <w:rPr>
                <w:sz w:val="20"/>
              </w:rPr>
              <w:t>a</w:t>
            </w:r>
            <w:r w:rsidRPr="005D1E90">
              <w:rPr>
                <w:sz w:val="20"/>
              </w:rPr>
              <w:t>, 202</w:t>
            </w:r>
            <w:r>
              <w:rPr>
                <w:sz w:val="20"/>
              </w:rPr>
              <w:t xml:space="preserve">0; </w:t>
            </w:r>
          </w:p>
          <w:p w14:paraId="58F2C202" w14:textId="3ADDA40E" w:rsidR="00B83FEE" w:rsidRDefault="00B83FEE" w:rsidP="00B83FEE">
            <w:pPr>
              <w:rPr>
                <w:sz w:val="20"/>
              </w:rPr>
            </w:pPr>
            <w:r>
              <w:rPr>
                <w:sz w:val="20"/>
              </w:rPr>
              <w:t>Bečan Irena (et al.), ZDR-1 s komentarjem, 2. Posodobljena in dopolnjena izdaja, GV Založba, 2019</w:t>
            </w:r>
          </w:p>
          <w:p w14:paraId="63EB8E31" w14:textId="54DB3B6D" w:rsidR="00EF0EAA" w:rsidRDefault="00EF0EAA" w:rsidP="00B83FEE">
            <w:pPr>
              <w:rPr>
                <w:sz w:val="20"/>
              </w:rPr>
            </w:pPr>
            <w:r>
              <w:rPr>
                <w:sz w:val="20"/>
              </w:rPr>
              <w:t>Kresal Šoltes, Katarina, Vsebina kolektivne pogodbe, GV Založba, 2011</w:t>
            </w:r>
          </w:p>
          <w:p w14:paraId="79839BF6" w14:textId="63125ED9" w:rsidR="00EF0EAA" w:rsidRDefault="00EF0EAA" w:rsidP="00B83FEE">
            <w:pPr>
              <w:rPr>
                <w:sz w:val="20"/>
              </w:rPr>
            </w:pPr>
          </w:p>
          <w:p w14:paraId="52CD930E" w14:textId="5E4E86F0" w:rsidR="00EF0EAA" w:rsidRDefault="00EF0EAA" w:rsidP="00B83FEE">
            <w:pPr>
              <w:rPr>
                <w:sz w:val="20"/>
              </w:rPr>
            </w:pPr>
            <w:r w:rsidRPr="00C83E74">
              <w:rPr>
                <w:b/>
                <w:sz w:val="20"/>
                <w:u w:val="single"/>
              </w:rPr>
              <w:t>Ostalo</w:t>
            </w:r>
            <w:r>
              <w:rPr>
                <w:sz w:val="20"/>
              </w:rPr>
              <w:t>:</w:t>
            </w:r>
          </w:p>
          <w:p w14:paraId="58F2C203" w14:textId="77777777" w:rsidR="00E31789" w:rsidRPr="00FD6257" w:rsidRDefault="00E31789" w:rsidP="00645B98">
            <w:pPr>
              <w:pStyle w:val="literatura"/>
              <w:numPr>
                <w:ilvl w:val="0"/>
                <w:numId w:val="0"/>
              </w:numPr>
              <w:tabs>
                <w:tab w:val="clear" w:pos="284"/>
                <w:tab w:val="left" w:pos="0"/>
              </w:tabs>
              <w:rPr>
                <w:rFonts w:ascii="Calibri" w:hAnsi="Calibri" w:cs="Calibri"/>
                <w:szCs w:val="22"/>
              </w:rPr>
            </w:pPr>
            <w:r w:rsidRPr="00FD6257">
              <w:rPr>
                <w:rFonts w:ascii="Calibri" w:hAnsi="Calibri" w:cs="Calibri"/>
                <w:szCs w:val="22"/>
              </w:rPr>
              <w:t>Končar, P., Varstvo pridobljenih pravic delavcev po direktivi 77/187 o zbliževanju zakonov držav članic glede varstva pravic delavcev v primeru prenosa podjetij, obratov ali delov podjetij, Podjetje in delo, št. 5, 1997, str. 499-518,</w:t>
            </w:r>
          </w:p>
          <w:p w14:paraId="58F2C204" w14:textId="77777777" w:rsidR="00E31789" w:rsidRPr="00FD6257" w:rsidRDefault="00E31789" w:rsidP="00645B98">
            <w:pPr>
              <w:pStyle w:val="literatura"/>
              <w:numPr>
                <w:ilvl w:val="0"/>
                <w:numId w:val="0"/>
              </w:numPr>
              <w:tabs>
                <w:tab w:val="clear" w:pos="284"/>
                <w:tab w:val="left" w:pos="0"/>
              </w:tabs>
              <w:rPr>
                <w:rFonts w:ascii="Calibri" w:hAnsi="Calibri" w:cs="Calibri"/>
                <w:szCs w:val="22"/>
              </w:rPr>
            </w:pPr>
            <w:r w:rsidRPr="00FD6257">
              <w:rPr>
                <w:rFonts w:ascii="Calibri" w:hAnsi="Calibri" w:cs="Calibri"/>
                <w:szCs w:val="22"/>
              </w:rPr>
              <w:t>Handbook on Employee Involvement in Europe, Kluwer, 2004,</w:t>
            </w:r>
          </w:p>
          <w:p w14:paraId="58F2C205" w14:textId="77777777" w:rsidR="00E31789" w:rsidRPr="00FD6257" w:rsidRDefault="00E31789" w:rsidP="00645B98">
            <w:pPr>
              <w:jc w:val="both"/>
              <w:rPr>
                <w:rFonts w:cs="Calibri"/>
                <w:sz w:val="22"/>
                <w:szCs w:val="22"/>
              </w:rPr>
            </w:pPr>
            <w:r w:rsidRPr="00FD6257">
              <w:rPr>
                <w:rFonts w:cs="Calibri"/>
                <w:sz w:val="22"/>
                <w:szCs w:val="22"/>
              </w:rPr>
              <w:t>Veneziani, B., The Evolution of the Contract of Employment, V: The Making of Labour Law in Europe, Ed. B. Hepple, Mansell Publishing Lim., 1986, str. 31-72,</w:t>
            </w:r>
          </w:p>
          <w:p w14:paraId="58F2C206" w14:textId="77777777" w:rsidR="00E31789" w:rsidRPr="00FD6257" w:rsidRDefault="00E31789" w:rsidP="00645B98">
            <w:pPr>
              <w:jc w:val="both"/>
              <w:rPr>
                <w:rFonts w:cs="Calibri"/>
                <w:sz w:val="22"/>
                <w:szCs w:val="22"/>
              </w:rPr>
            </w:pPr>
            <w:r w:rsidRPr="00FD6257">
              <w:rPr>
                <w:rFonts w:cs="Calibri"/>
                <w:sz w:val="22"/>
                <w:szCs w:val="22"/>
              </w:rPr>
              <w:t>B. Kresal, Pravna ureditev plače, Bonex, Ljubljana 2001</w:t>
            </w:r>
          </w:p>
          <w:p w14:paraId="58F2C207" w14:textId="77777777" w:rsidR="00E31789" w:rsidRPr="00FD6257" w:rsidRDefault="00E31789" w:rsidP="00645B98">
            <w:pPr>
              <w:pStyle w:val="literatura"/>
              <w:numPr>
                <w:ilvl w:val="0"/>
                <w:numId w:val="0"/>
              </w:numPr>
              <w:tabs>
                <w:tab w:val="clear" w:pos="284"/>
                <w:tab w:val="left" w:pos="0"/>
              </w:tabs>
              <w:rPr>
                <w:rFonts w:ascii="Calibri" w:hAnsi="Calibri" w:cs="Calibri"/>
                <w:szCs w:val="22"/>
              </w:rPr>
            </w:pPr>
            <w:r w:rsidRPr="00FD6257">
              <w:rPr>
                <w:rFonts w:ascii="Calibri" w:hAnsi="Calibri" w:cs="Calibri"/>
                <w:szCs w:val="22"/>
              </w:rPr>
              <w:t>Hendrickx, F., Employment Privacy, Comparative Labour Law and Industrial Relations in Industrialised Market Economies, Ed. R. Blanpain, Kluwer, 2004, str. 359-374,</w:t>
            </w:r>
          </w:p>
          <w:p w14:paraId="58F2C208" w14:textId="77777777" w:rsidR="00E31789" w:rsidRPr="00FD6257" w:rsidRDefault="00E31789" w:rsidP="00645B98">
            <w:pPr>
              <w:rPr>
                <w:rFonts w:cs="Calibri"/>
                <w:sz w:val="22"/>
                <w:szCs w:val="22"/>
              </w:rPr>
            </w:pPr>
            <w:r w:rsidRPr="00FD6257">
              <w:rPr>
                <w:rFonts w:cs="Calibri"/>
                <w:sz w:val="22"/>
                <w:szCs w:val="22"/>
              </w:rPr>
              <w:t>Freedom of association, Digest of decisions and principles of the Freedom Association Comittee of the governing body of the ILO (5th ed.), ILO, Geneve, 2006,</w:t>
            </w:r>
          </w:p>
          <w:p w14:paraId="58F2C209" w14:textId="77777777" w:rsidR="00E31789" w:rsidRPr="00FD6257" w:rsidRDefault="00E31789" w:rsidP="00645B98">
            <w:pPr>
              <w:rPr>
                <w:rFonts w:cs="Calibri"/>
                <w:sz w:val="22"/>
                <w:szCs w:val="22"/>
              </w:rPr>
            </w:pPr>
            <w:r w:rsidRPr="00FD6257">
              <w:rPr>
                <w:rFonts w:cs="Calibri"/>
                <w:sz w:val="22"/>
                <w:szCs w:val="22"/>
              </w:rPr>
              <w:t>Galič A., Arbitraža v individualnih delovnih sporih, Delavci in delodajalci, št. 2-3, 2004, str. 419-438,</w:t>
            </w:r>
          </w:p>
          <w:p w14:paraId="58F2C20A" w14:textId="77777777" w:rsidR="00E31789" w:rsidRPr="00FD6257" w:rsidRDefault="00E31789" w:rsidP="00645B98">
            <w:pPr>
              <w:rPr>
                <w:rFonts w:cs="Calibri"/>
                <w:sz w:val="22"/>
                <w:szCs w:val="22"/>
              </w:rPr>
            </w:pPr>
            <w:r w:rsidRPr="00FD6257">
              <w:rPr>
                <w:rFonts w:cs="Calibri"/>
                <w:sz w:val="22"/>
                <w:szCs w:val="22"/>
              </w:rPr>
              <w:t>Kogej Dmitrovič, B., Sodna poravnava v individualnih delovnih sporih, Delavci in delodajalci, št. 2-3, 2004, 401, 418,</w:t>
            </w:r>
          </w:p>
          <w:p w14:paraId="58F2C20B" w14:textId="77777777" w:rsidR="00E31789" w:rsidRDefault="00E31789" w:rsidP="00645B98">
            <w:pPr>
              <w:rPr>
                <w:rFonts w:cs="Calibri"/>
                <w:sz w:val="22"/>
                <w:szCs w:val="22"/>
              </w:rPr>
            </w:pPr>
            <w:r w:rsidRPr="00771D83">
              <w:rPr>
                <w:sz w:val="22"/>
              </w:rPr>
              <w:t xml:space="preserve">TIČAR, Luka. Posebnosti mediacije v delovnih sporih. </w:t>
            </w:r>
            <w:r w:rsidRPr="00771D83">
              <w:rPr>
                <w:i/>
                <w:iCs/>
                <w:sz w:val="22"/>
              </w:rPr>
              <w:t>Delav. delod.</w:t>
            </w:r>
            <w:r w:rsidRPr="00771D83">
              <w:rPr>
                <w:sz w:val="22"/>
              </w:rPr>
              <w:t>, 2011, letn. 11, št. 2/3, str. 353-369.</w:t>
            </w:r>
          </w:p>
          <w:p w14:paraId="58F2C20C" w14:textId="77777777" w:rsidR="00E31789" w:rsidRDefault="00E31789" w:rsidP="00645B98">
            <w:pPr>
              <w:rPr>
                <w:rFonts w:cs="Calibri"/>
                <w:sz w:val="22"/>
                <w:szCs w:val="22"/>
              </w:rPr>
            </w:pPr>
            <w:r>
              <w:rPr>
                <w:rFonts w:cs="Calibri"/>
                <w:sz w:val="22"/>
                <w:szCs w:val="22"/>
              </w:rPr>
              <w:t>Kresal, Barbara, Obstoj delovnega razmerja kot predhodno vprašanje v delovnih sporih, Delavci in delodajalci, št. 2-3/2016, str. 217-239</w:t>
            </w:r>
          </w:p>
          <w:p w14:paraId="58F2C20D" w14:textId="77777777" w:rsidR="00E31789" w:rsidRPr="00FD6257" w:rsidRDefault="00E31789" w:rsidP="00645B98">
            <w:pPr>
              <w:rPr>
                <w:rFonts w:cs="Calibri"/>
                <w:sz w:val="22"/>
                <w:szCs w:val="22"/>
              </w:rPr>
            </w:pPr>
            <w:r w:rsidRPr="00FD6257">
              <w:rPr>
                <w:rFonts w:cs="Calibri"/>
                <w:sz w:val="22"/>
                <w:szCs w:val="22"/>
              </w:rPr>
              <w:t>Novak, J., Delovni spori, GV Založba, 2004, Ljubljana</w:t>
            </w:r>
          </w:p>
          <w:p w14:paraId="58F2C20E" w14:textId="77777777" w:rsidR="00E31789" w:rsidRPr="00FD6257" w:rsidRDefault="00E31789" w:rsidP="00645B98">
            <w:pPr>
              <w:rPr>
                <w:rFonts w:cs="Calibri"/>
                <w:bCs/>
                <w:sz w:val="22"/>
                <w:szCs w:val="22"/>
              </w:rPr>
            </w:pPr>
            <w:r w:rsidRPr="00FD6257">
              <w:rPr>
                <w:rFonts w:cs="Calibri"/>
                <w:sz w:val="22"/>
                <w:szCs w:val="22"/>
              </w:rPr>
              <w:t xml:space="preserve">Robnik I., Načelo pospešitve postopka v individualnem delovnem sporu po novem ZDSS-1, Delavci in delodajalci, št. 2-3, 2004, str. 371-400  </w:t>
            </w:r>
          </w:p>
        </w:tc>
      </w:tr>
      <w:tr w:rsidR="00E31789" w:rsidRPr="00FD6257" w14:paraId="58F2C215" w14:textId="77777777" w:rsidTr="00645B98">
        <w:trPr>
          <w:trHeight w:val="73"/>
        </w:trPr>
        <w:tc>
          <w:tcPr>
            <w:tcW w:w="4720" w:type="dxa"/>
            <w:gridSpan w:val="2"/>
            <w:tcBorders>
              <w:top w:val="nil"/>
              <w:left w:val="nil"/>
              <w:bottom w:val="single" w:sz="4" w:space="0" w:color="auto"/>
              <w:right w:val="nil"/>
            </w:tcBorders>
          </w:tcPr>
          <w:p w14:paraId="58F2C210" w14:textId="77777777" w:rsidR="00E31789" w:rsidRPr="00FD6257" w:rsidRDefault="00E31789" w:rsidP="00645B98">
            <w:pPr>
              <w:rPr>
                <w:rFonts w:cs="Calibri"/>
                <w:bCs/>
                <w:sz w:val="22"/>
                <w:szCs w:val="22"/>
              </w:rPr>
            </w:pPr>
          </w:p>
          <w:p w14:paraId="58F2C211" w14:textId="77777777" w:rsidR="00E31789" w:rsidRPr="00FD6257" w:rsidRDefault="00E31789" w:rsidP="00645B98">
            <w:pPr>
              <w:rPr>
                <w:rFonts w:cs="Calibri"/>
                <w:sz w:val="22"/>
                <w:szCs w:val="22"/>
              </w:rPr>
            </w:pPr>
            <w:r w:rsidRPr="00FD6257">
              <w:rPr>
                <w:rFonts w:cs="Calibri"/>
                <w:sz w:val="22"/>
                <w:szCs w:val="22"/>
              </w:rPr>
              <w:t>Cilji in kompetence:</w:t>
            </w:r>
          </w:p>
        </w:tc>
        <w:tc>
          <w:tcPr>
            <w:tcW w:w="152" w:type="dxa"/>
            <w:gridSpan w:val="2"/>
          </w:tcPr>
          <w:p w14:paraId="58F2C212" w14:textId="77777777" w:rsidR="00E31789" w:rsidRPr="00FD6257" w:rsidRDefault="00E31789" w:rsidP="00645B98">
            <w:pPr>
              <w:rPr>
                <w:rFonts w:cs="Calibri"/>
                <w:sz w:val="22"/>
                <w:szCs w:val="22"/>
              </w:rPr>
            </w:pPr>
          </w:p>
        </w:tc>
        <w:tc>
          <w:tcPr>
            <w:tcW w:w="4823" w:type="dxa"/>
            <w:gridSpan w:val="2"/>
            <w:tcBorders>
              <w:top w:val="nil"/>
              <w:left w:val="nil"/>
              <w:bottom w:val="single" w:sz="4" w:space="0" w:color="auto"/>
              <w:right w:val="nil"/>
            </w:tcBorders>
          </w:tcPr>
          <w:p w14:paraId="58F2C213" w14:textId="77777777" w:rsidR="00E31789" w:rsidRPr="00FD6257" w:rsidRDefault="00E31789" w:rsidP="00645B98">
            <w:pPr>
              <w:rPr>
                <w:rFonts w:cs="Calibri"/>
                <w:sz w:val="22"/>
                <w:szCs w:val="22"/>
              </w:rPr>
            </w:pPr>
          </w:p>
          <w:p w14:paraId="58F2C214" w14:textId="77777777" w:rsidR="00E31789" w:rsidRPr="00FD6257" w:rsidRDefault="00E31789" w:rsidP="00645B98">
            <w:pPr>
              <w:rPr>
                <w:rFonts w:cs="Calibri"/>
                <w:sz w:val="22"/>
                <w:szCs w:val="22"/>
              </w:rPr>
            </w:pPr>
            <w:r w:rsidRPr="00FD6257">
              <w:rPr>
                <w:rFonts w:cs="Calibri"/>
                <w:sz w:val="22"/>
                <w:szCs w:val="22"/>
                <w:lang w:val="en-GB"/>
              </w:rPr>
              <w:t>Objectives and competences</w:t>
            </w:r>
            <w:r w:rsidRPr="00FD6257">
              <w:rPr>
                <w:rFonts w:cs="Calibri"/>
                <w:sz w:val="22"/>
                <w:szCs w:val="22"/>
              </w:rPr>
              <w:t>:</w:t>
            </w:r>
          </w:p>
        </w:tc>
      </w:tr>
      <w:tr w:rsidR="00E31789" w:rsidRPr="00FD6257" w14:paraId="58F2C219" w14:textId="77777777" w:rsidTr="00645B98">
        <w:trPr>
          <w:trHeight w:val="1838"/>
        </w:trPr>
        <w:tc>
          <w:tcPr>
            <w:tcW w:w="4720" w:type="dxa"/>
            <w:gridSpan w:val="2"/>
            <w:tcBorders>
              <w:top w:val="single" w:sz="4" w:space="0" w:color="auto"/>
              <w:left w:val="single" w:sz="4" w:space="0" w:color="auto"/>
              <w:bottom w:val="single" w:sz="4" w:space="0" w:color="auto"/>
              <w:right w:val="single" w:sz="4" w:space="0" w:color="auto"/>
            </w:tcBorders>
          </w:tcPr>
          <w:p w14:paraId="58F2C216" w14:textId="77777777" w:rsidR="00E31789" w:rsidRPr="00FD6257" w:rsidRDefault="00E31789" w:rsidP="00645B98">
            <w:pPr>
              <w:rPr>
                <w:rFonts w:cs="Calibri"/>
                <w:sz w:val="22"/>
                <w:szCs w:val="22"/>
              </w:rPr>
            </w:pPr>
            <w:r w:rsidRPr="00FD6257">
              <w:rPr>
                <w:rFonts w:cs="Calibri"/>
                <w:sz w:val="22"/>
                <w:szCs w:val="22"/>
              </w:rPr>
              <w:t>Cilj predmeta je, da slušatelj pridobi poglobljena in zahtevnejša pravna znanja na področju individualnih in kolektivnih delovnih razmerij. Predmet je zasnovan multidisciplinarno in zajema tako materialnopravne kot tudi procesnopravne vidike. Na praktični ravni se predvideva osvojitev poglobljene analitične zmožnosti interpretacije položaja delavca pri delodajalcu in v sodnem sporu z njim.</w:t>
            </w:r>
          </w:p>
        </w:tc>
        <w:tc>
          <w:tcPr>
            <w:tcW w:w="152" w:type="dxa"/>
            <w:gridSpan w:val="2"/>
            <w:tcBorders>
              <w:top w:val="nil"/>
              <w:left w:val="single" w:sz="4" w:space="0" w:color="auto"/>
              <w:bottom w:val="nil"/>
              <w:right w:val="single" w:sz="4" w:space="0" w:color="auto"/>
            </w:tcBorders>
          </w:tcPr>
          <w:p w14:paraId="58F2C217" w14:textId="77777777" w:rsidR="00E31789" w:rsidRPr="00FD6257" w:rsidRDefault="00E31789" w:rsidP="00645B98">
            <w:pPr>
              <w:rPr>
                <w:rFonts w:cs="Calibri"/>
                <w:sz w:val="22"/>
                <w:szCs w:val="22"/>
              </w:rPr>
            </w:pPr>
          </w:p>
        </w:tc>
        <w:tc>
          <w:tcPr>
            <w:tcW w:w="4823" w:type="dxa"/>
            <w:gridSpan w:val="2"/>
            <w:tcBorders>
              <w:top w:val="single" w:sz="4" w:space="0" w:color="auto"/>
              <w:left w:val="single" w:sz="4" w:space="0" w:color="auto"/>
              <w:bottom w:val="single" w:sz="4" w:space="0" w:color="auto"/>
              <w:right w:val="single" w:sz="4" w:space="0" w:color="auto"/>
            </w:tcBorders>
          </w:tcPr>
          <w:p w14:paraId="58F2C218" w14:textId="77777777" w:rsidR="00E31789" w:rsidRPr="00FD6257" w:rsidRDefault="00E31789" w:rsidP="00645B98">
            <w:pPr>
              <w:rPr>
                <w:rFonts w:cs="Calibri"/>
                <w:sz w:val="22"/>
                <w:szCs w:val="22"/>
              </w:rPr>
            </w:pPr>
          </w:p>
        </w:tc>
      </w:tr>
      <w:tr w:rsidR="00E31789" w:rsidRPr="00FD6257" w14:paraId="58F2C220" w14:textId="77777777" w:rsidTr="00645B98">
        <w:trPr>
          <w:trHeight w:val="117"/>
        </w:trPr>
        <w:tc>
          <w:tcPr>
            <w:tcW w:w="4730" w:type="dxa"/>
            <w:gridSpan w:val="3"/>
            <w:tcBorders>
              <w:top w:val="nil"/>
              <w:left w:val="nil"/>
              <w:bottom w:val="single" w:sz="4" w:space="0" w:color="auto"/>
              <w:right w:val="nil"/>
            </w:tcBorders>
          </w:tcPr>
          <w:p w14:paraId="58F2C21A" w14:textId="77777777" w:rsidR="00E31789" w:rsidRPr="00FD6257" w:rsidRDefault="00E31789" w:rsidP="00645B98">
            <w:pPr>
              <w:rPr>
                <w:rFonts w:cs="Calibri"/>
                <w:sz w:val="22"/>
                <w:szCs w:val="22"/>
              </w:rPr>
            </w:pPr>
          </w:p>
          <w:p w14:paraId="58F2C21B" w14:textId="77777777" w:rsidR="00E31789" w:rsidRPr="00FD6257" w:rsidRDefault="00E31789" w:rsidP="00645B98">
            <w:pPr>
              <w:rPr>
                <w:rFonts w:cs="Calibri"/>
                <w:sz w:val="22"/>
                <w:szCs w:val="22"/>
              </w:rPr>
            </w:pPr>
            <w:r w:rsidRPr="00FD6257">
              <w:rPr>
                <w:rFonts w:cs="Calibri"/>
                <w:sz w:val="22"/>
                <w:szCs w:val="22"/>
              </w:rPr>
              <w:t>Predvideni študijski rezultati:</w:t>
            </w:r>
          </w:p>
        </w:tc>
        <w:tc>
          <w:tcPr>
            <w:tcW w:w="142" w:type="dxa"/>
          </w:tcPr>
          <w:p w14:paraId="58F2C21C" w14:textId="77777777" w:rsidR="00E31789" w:rsidRPr="00FD6257" w:rsidRDefault="00E31789" w:rsidP="00645B98">
            <w:pPr>
              <w:rPr>
                <w:rFonts w:cs="Calibri"/>
                <w:sz w:val="22"/>
                <w:szCs w:val="22"/>
              </w:rPr>
            </w:pPr>
          </w:p>
          <w:p w14:paraId="58F2C21D" w14:textId="77777777" w:rsidR="00E31789" w:rsidRPr="00FD6257" w:rsidRDefault="00E31789" w:rsidP="00645B98">
            <w:pPr>
              <w:rPr>
                <w:rFonts w:cs="Calibri"/>
                <w:sz w:val="22"/>
                <w:szCs w:val="22"/>
              </w:rPr>
            </w:pPr>
          </w:p>
        </w:tc>
        <w:tc>
          <w:tcPr>
            <w:tcW w:w="4823" w:type="dxa"/>
            <w:gridSpan w:val="2"/>
            <w:tcBorders>
              <w:top w:val="nil"/>
              <w:left w:val="nil"/>
              <w:bottom w:val="single" w:sz="4" w:space="0" w:color="auto"/>
              <w:right w:val="nil"/>
            </w:tcBorders>
          </w:tcPr>
          <w:p w14:paraId="58F2C21E" w14:textId="77777777" w:rsidR="00E31789" w:rsidRPr="00FD6257" w:rsidRDefault="00E31789" w:rsidP="00645B98">
            <w:pPr>
              <w:rPr>
                <w:rFonts w:cs="Calibri"/>
                <w:sz w:val="22"/>
                <w:szCs w:val="22"/>
              </w:rPr>
            </w:pPr>
          </w:p>
          <w:p w14:paraId="58F2C21F" w14:textId="77777777" w:rsidR="00E31789" w:rsidRPr="00FD6257" w:rsidRDefault="00E31789" w:rsidP="00645B98">
            <w:pPr>
              <w:rPr>
                <w:rFonts w:cs="Calibri"/>
                <w:sz w:val="22"/>
                <w:szCs w:val="22"/>
              </w:rPr>
            </w:pPr>
            <w:r w:rsidRPr="00FD6257">
              <w:rPr>
                <w:rFonts w:cs="Calibri"/>
                <w:sz w:val="22"/>
                <w:szCs w:val="22"/>
              </w:rPr>
              <w:t>Intended learning outcomes:</w:t>
            </w:r>
          </w:p>
        </w:tc>
      </w:tr>
      <w:tr w:rsidR="00E31789" w:rsidRPr="00FD6257" w14:paraId="58F2C22A" w14:textId="77777777" w:rsidTr="00645B98">
        <w:trPr>
          <w:trHeight w:val="1387"/>
        </w:trPr>
        <w:tc>
          <w:tcPr>
            <w:tcW w:w="4730" w:type="dxa"/>
            <w:gridSpan w:val="3"/>
            <w:tcBorders>
              <w:top w:val="single" w:sz="4" w:space="0" w:color="auto"/>
              <w:left w:val="single" w:sz="4" w:space="0" w:color="auto"/>
              <w:bottom w:val="nil"/>
              <w:right w:val="single" w:sz="4" w:space="0" w:color="auto"/>
            </w:tcBorders>
          </w:tcPr>
          <w:p w14:paraId="58F2C221" w14:textId="77777777" w:rsidR="00E31789" w:rsidRPr="00FD6257" w:rsidRDefault="00E31789" w:rsidP="00645B98">
            <w:pPr>
              <w:rPr>
                <w:rFonts w:cs="Calibri"/>
                <w:sz w:val="22"/>
                <w:szCs w:val="22"/>
              </w:rPr>
            </w:pPr>
            <w:r w:rsidRPr="00FD6257">
              <w:rPr>
                <w:rFonts w:cs="Calibri"/>
                <w:sz w:val="22"/>
                <w:szCs w:val="22"/>
              </w:rPr>
              <w:t>Po opravljenih obveznostih bo študent sposoben izkazati razumevanje najzahtevnejših pravnih instrumentov s področja, jih analizirati in razvrščati v konkretnih situacijah. Študent bo sposoben argumentirano interpretirati zakonske določbe s področja in spremljati ter analizirati sodno prakso.</w:t>
            </w:r>
          </w:p>
          <w:p w14:paraId="58F2C222" w14:textId="77777777" w:rsidR="00E31789" w:rsidRPr="00FD6257" w:rsidRDefault="00E31789" w:rsidP="00645B98">
            <w:pPr>
              <w:rPr>
                <w:rFonts w:cs="Calibri"/>
                <w:sz w:val="22"/>
                <w:szCs w:val="22"/>
              </w:rPr>
            </w:pPr>
            <w:r w:rsidRPr="00FD6257">
              <w:rPr>
                <w:rFonts w:cs="Calibri"/>
                <w:sz w:val="22"/>
                <w:szCs w:val="22"/>
              </w:rPr>
              <w:t>Pridobljeno znanje je mogoče neposredno uporabiti pri razumevanju položaja delavca v delovnem razmerju in reševanju vseh vrst delovnih sporov.</w:t>
            </w:r>
          </w:p>
          <w:p w14:paraId="58F2C223" w14:textId="77777777" w:rsidR="00E31789" w:rsidRPr="00FD6257" w:rsidRDefault="00E31789" w:rsidP="00645B98">
            <w:pPr>
              <w:rPr>
                <w:rFonts w:cs="Calibri"/>
                <w:sz w:val="22"/>
                <w:szCs w:val="22"/>
              </w:rPr>
            </w:pPr>
            <w:r w:rsidRPr="00FD6257">
              <w:rPr>
                <w:rFonts w:cs="Calibri"/>
                <w:sz w:val="22"/>
                <w:szCs w:val="22"/>
              </w:rPr>
              <w:t xml:space="preserve">Ustno in pisno izražanje o pravnih vprašanjih, </w:t>
            </w:r>
            <w:r w:rsidRPr="00FD6257">
              <w:rPr>
                <w:rFonts w:cs="Calibri"/>
                <w:sz w:val="22"/>
                <w:szCs w:val="22"/>
              </w:rPr>
              <w:lastRenderedPageBreak/>
              <w:t>sposobnost pravniškega sklepanja, izdelava  najzahtevnejših materialnih in procesnih vlog.</w:t>
            </w:r>
          </w:p>
          <w:p w14:paraId="58F2C224" w14:textId="77777777" w:rsidR="00E31789" w:rsidRPr="00FD6257" w:rsidRDefault="00E31789" w:rsidP="00645B98">
            <w:pPr>
              <w:rPr>
                <w:rFonts w:cs="Calibri"/>
                <w:sz w:val="22"/>
                <w:szCs w:val="22"/>
              </w:rPr>
            </w:pPr>
            <w:r w:rsidRPr="00FD6257">
              <w:rPr>
                <w:rFonts w:cs="Calibri"/>
                <w:sz w:val="22"/>
                <w:szCs w:val="22"/>
              </w:rPr>
              <w:t>Študenti povezujejo pridobljeno znanje predvsem z drugimi predmeti s področja civilnega in gospodarskega prava, predvsem pa je pomembno povezovanje s postopkovnimi predmeti.</w:t>
            </w:r>
          </w:p>
        </w:tc>
        <w:tc>
          <w:tcPr>
            <w:tcW w:w="142" w:type="dxa"/>
            <w:tcBorders>
              <w:top w:val="nil"/>
              <w:left w:val="single" w:sz="4" w:space="0" w:color="auto"/>
              <w:bottom w:val="nil"/>
              <w:right w:val="single" w:sz="4" w:space="0" w:color="auto"/>
            </w:tcBorders>
          </w:tcPr>
          <w:p w14:paraId="58F2C225" w14:textId="77777777" w:rsidR="00E31789" w:rsidRPr="00FD6257" w:rsidRDefault="00E31789" w:rsidP="00645B98">
            <w:pPr>
              <w:rPr>
                <w:rFonts w:cs="Calibri"/>
                <w:sz w:val="22"/>
                <w:szCs w:val="22"/>
              </w:rPr>
            </w:pPr>
          </w:p>
          <w:p w14:paraId="58F2C226" w14:textId="77777777" w:rsidR="00E31789" w:rsidRPr="00FD6257" w:rsidRDefault="00E31789" w:rsidP="00645B98">
            <w:pPr>
              <w:rPr>
                <w:rFonts w:cs="Calibri"/>
                <w:sz w:val="22"/>
                <w:szCs w:val="22"/>
              </w:rPr>
            </w:pPr>
          </w:p>
          <w:p w14:paraId="58F2C227" w14:textId="77777777" w:rsidR="00E31789" w:rsidRPr="00FD6257" w:rsidRDefault="00E31789" w:rsidP="00645B98">
            <w:pPr>
              <w:rPr>
                <w:rFonts w:cs="Calibri"/>
                <w:sz w:val="22"/>
                <w:szCs w:val="22"/>
              </w:rPr>
            </w:pPr>
          </w:p>
        </w:tc>
        <w:tc>
          <w:tcPr>
            <w:tcW w:w="4823" w:type="dxa"/>
            <w:gridSpan w:val="2"/>
            <w:tcBorders>
              <w:top w:val="single" w:sz="4" w:space="0" w:color="auto"/>
              <w:left w:val="single" w:sz="4" w:space="0" w:color="auto"/>
              <w:bottom w:val="nil"/>
              <w:right w:val="single" w:sz="4" w:space="0" w:color="auto"/>
            </w:tcBorders>
          </w:tcPr>
          <w:p w14:paraId="58F2C228" w14:textId="77777777" w:rsidR="00E31789" w:rsidRPr="00FD6257" w:rsidRDefault="00E31789" w:rsidP="00645B98">
            <w:pPr>
              <w:rPr>
                <w:rFonts w:cs="Calibri"/>
                <w:sz w:val="22"/>
                <w:szCs w:val="22"/>
              </w:rPr>
            </w:pPr>
          </w:p>
          <w:p w14:paraId="58F2C229" w14:textId="77777777" w:rsidR="00E31789" w:rsidRPr="00FD6257" w:rsidRDefault="00E31789" w:rsidP="00645B98">
            <w:pPr>
              <w:rPr>
                <w:rFonts w:cs="Calibri"/>
                <w:sz w:val="22"/>
                <w:szCs w:val="22"/>
              </w:rPr>
            </w:pPr>
          </w:p>
        </w:tc>
      </w:tr>
      <w:tr w:rsidR="00E31789" w:rsidRPr="00FD6257" w14:paraId="58F2C22E" w14:textId="77777777" w:rsidTr="00645B98">
        <w:trPr>
          <w:trHeight w:val="304"/>
        </w:trPr>
        <w:tc>
          <w:tcPr>
            <w:tcW w:w="4730" w:type="dxa"/>
            <w:gridSpan w:val="3"/>
            <w:tcBorders>
              <w:top w:val="nil"/>
              <w:left w:val="single" w:sz="4" w:space="0" w:color="auto"/>
              <w:bottom w:val="single" w:sz="4" w:space="0" w:color="auto"/>
              <w:right w:val="single" w:sz="4" w:space="0" w:color="auto"/>
            </w:tcBorders>
          </w:tcPr>
          <w:p w14:paraId="58F2C22B" w14:textId="77777777" w:rsidR="00E31789" w:rsidRPr="00FD6257" w:rsidRDefault="00E31789" w:rsidP="00645B98">
            <w:pPr>
              <w:rPr>
                <w:rFonts w:cs="Calibri"/>
                <w:sz w:val="22"/>
                <w:szCs w:val="22"/>
              </w:rPr>
            </w:pPr>
          </w:p>
        </w:tc>
        <w:tc>
          <w:tcPr>
            <w:tcW w:w="142" w:type="dxa"/>
            <w:tcBorders>
              <w:top w:val="nil"/>
              <w:left w:val="single" w:sz="4" w:space="0" w:color="auto"/>
              <w:bottom w:val="nil"/>
              <w:right w:val="single" w:sz="4" w:space="0" w:color="auto"/>
            </w:tcBorders>
          </w:tcPr>
          <w:p w14:paraId="58F2C22C" w14:textId="77777777" w:rsidR="00E31789" w:rsidRPr="00FD6257" w:rsidRDefault="00E31789" w:rsidP="00645B98">
            <w:pPr>
              <w:rPr>
                <w:rFonts w:cs="Calibri"/>
                <w:sz w:val="22"/>
                <w:szCs w:val="22"/>
              </w:rPr>
            </w:pPr>
          </w:p>
        </w:tc>
        <w:tc>
          <w:tcPr>
            <w:tcW w:w="4823" w:type="dxa"/>
            <w:gridSpan w:val="2"/>
            <w:tcBorders>
              <w:top w:val="nil"/>
              <w:left w:val="single" w:sz="4" w:space="0" w:color="auto"/>
              <w:bottom w:val="single" w:sz="4" w:space="0" w:color="auto"/>
              <w:right w:val="single" w:sz="4" w:space="0" w:color="auto"/>
            </w:tcBorders>
          </w:tcPr>
          <w:p w14:paraId="58F2C22D" w14:textId="77777777" w:rsidR="00E31789" w:rsidRPr="00FD6257" w:rsidRDefault="00E31789" w:rsidP="00645B98">
            <w:pPr>
              <w:rPr>
                <w:rFonts w:cs="Calibri"/>
                <w:sz w:val="22"/>
                <w:szCs w:val="22"/>
              </w:rPr>
            </w:pPr>
          </w:p>
        </w:tc>
      </w:tr>
      <w:tr w:rsidR="00E31789" w:rsidRPr="00FD6257" w14:paraId="58F2C235" w14:textId="77777777" w:rsidTr="00645B98">
        <w:tc>
          <w:tcPr>
            <w:tcW w:w="4730" w:type="dxa"/>
            <w:gridSpan w:val="3"/>
            <w:tcBorders>
              <w:top w:val="nil"/>
              <w:left w:val="nil"/>
              <w:bottom w:val="single" w:sz="4" w:space="0" w:color="auto"/>
              <w:right w:val="nil"/>
            </w:tcBorders>
          </w:tcPr>
          <w:p w14:paraId="58F2C22F" w14:textId="77777777" w:rsidR="00E31789" w:rsidRPr="00FD6257" w:rsidRDefault="00E31789" w:rsidP="00645B98">
            <w:pPr>
              <w:rPr>
                <w:rFonts w:cs="Calibri"/>
                <w:sz w:val="22"/>
                <w:szCs w:val="22"/>
              </w:rPr>
            </w:pPr>
          </w:p>
          <w:p w14:paraId="58F2C230" w14:textId="77777777" w:rsidR="00E31789" w:rsidRPr="00FD6257" w:rsidRDefault="00E31789" w:rsidP="00645B98">
            <w:pPr>
              <w:rPr>
                <w:rFonts w:cs="Calibri"/>
                <w:sz w:val="22"/>
                <w:szCs w:val="22"/>
              </w:rPr>
            </w:pPr>
            <w:r w:rsidRPr="00FD6257">
              <w:rPr>
                <w:rFonts w:cs="Calibri"/>
                <w:sz w:val="22"/>
                <w:szCs w:val="22"/>
              </w:rPr>
              <w:t>Metode poučevanja in učenja:</w:t>
            </w:r>
          </w:p>
        </w:tc>
        <w:tc>
          <w:tcPr>
            <w:tcW w:w="142" w:type="dxa"/>
          </w:tcPr>
          <w:p w14:paraId="58F2C231" w14:textId="77777777" w:rsidR="00E31789" w:rsidRPr="00FD6257" w:rsidRDefault="00E31789" w:rsidP="00645B98">
            <w:pPr>
              <w:rPr>
                <w:rFonts w:cs="Calibri"/>
                <w:sz w:val="22"/>
                <w:szCs w:val="22"/>
              </w:rPr>
            </w:pPr>
          </w:p>
          <w:p w14:paraId="58F2C232" w14:textId="77777777" w:rsidR="00E31789" w:rsidRPr="00FD6257" w:rsidRDefault="00E31789" w:rsidP="00645B98">
            <w:pPr>
              <w:rPr>
                <w:rFonts w:cs="Calibri"/>
                <w:sz w:val="22"/>
                <w:szCs w:val="22"/>
              </w:rPr>
            </w:pPr>
          </w:p>
        </w:tc>
        <w:tc>
          <w:tcPr>
            <w:tcW w:w="4823" w:type="dxa"/>
            <w:gridSpan w:val="2"/>
            <w:tcBorders>
              <w:top w:val="nil"/>
              <w:left w:val="nil"/>
              <w:bottom w:val="single" w:sz="4" w:space="0" w:color="auto"/>
              <w:right w:val="nil"/>
            </w:tcBorders>
          </w:tcPr>
          <w:p w14:paraId="58F2C233" w14:textId="77777777" w:rsidR="00E31789" w:rsidRPr="00FD6257" w:rsidRDefault="00E31789" w:rsidP="00645B98">
            <w:pPr>
              <w:rPr>
                <w:rFonts w:cs="Calibri"/>
                <w:sz w:val="22"/>
                <w:szCs w:val="22"/>
              </w:rPr>
            </w:pPr>
          </w:p>
          <w:p w14:paraId="58F2C234" w14:textId="77777777" w:rsidR="00E31789" w:rsidRPr="00FD6257" w:rsidRDefault="00E31789" w:rsidP="00645B98">
            <w:pPr>
              <w:rPr>
                <w:rFonts w:cs="Calibri"/>
                <w:sz w:val="22"/>
                <w:szCs w:val="22"/>
              </w:rPr>
            </w:pPr>
            <w:r w:rsidRPr="00FD6257">
              <w:rPr>
                <w:rFonts w:cs="Calibri"/>
                <w:sz w:val="22"/>
                <w:szCs w:val="22"/>
              </w:rPr>
              <w:t>Learning and teaching methods:</w:t>
            </w:r>
          </w:p>
        </w:tc>
      </w:tr>
      <w:tr w:rsidR="00E31789" w:rsidRPr="00FD6257" w14:paraId="58F2C23A" w14:textId="77777777" w:rsidTr="00645B98">
        <w:trPr>
          <w:trHeight w:val="2023"/>
        </w:trPr>
        <w:tc>
          <w:tcPr>
            <w:tcW w:w="4730" w:type="dxa"/>
            <w:gridSpan w:val="3"/>
            <w:tcBorders>
              <w:top w:val="single" w:sz="4" w:space="0" w:color="auto"/>
              <w:left w:val="single" w:sz="4" w:space="0" w:color="auto"/>
              <w:bottom w:val="single" w:sz="4" w:space="0" w:color="auto"/>
              <w:right w:val="single" w:sz="4" w:space="0" w:color="auto"/>
            </w:tcBorders>
          </w:tcPr>
          <w:p w14:paraId="58F2C236" w14:textId="77777777" w:rsidR="00E31789" w:rsidRPr="00FD6257" w:rsidRDefault="00E31789" w:rsidP="00645B98">
            <w:pPr>
              <w:rPr>
                <w:rFonts w:cs="Calibri"/>
                <w:sz w:val="22"/>
                <w:szCs w:val="22"/>
              </w:rPr>
            </w:pPr>
            <w:r w:rsidRPr="00FD6257">
              <w:rPr>
                <w:rFonts w:cs="Calibri"/>
                <w:sz w:val="22"/>
                <w:szCs w:val="22"/>
              </w:rPr>
              <w:t>predavanja (posredovanje temeljnih teoretičnih znanj)</w:t>
            </w:r>
          </w:p>
          <w:p w14:paraId="58F2C237" w14:textId="77777777" w:rsidR="00E31789" w:rsidRPr="00FD6257" w:rsidRDefault="00E31789" w:rsidP="00645B98">
            <w:pPr>
              <w:rPr>
                <w:rFonts w:cs="Calibri"/>
                <w:sz w:val="22"/>
                <w:szCs w:val="22"/>
              </w:rPr>
            </w:pPr>
            <w:r w:rsidRPr="00FD6257">
              <w:rPr>
                <w:rFonts w:cs="Calibri"/>
                <w:sz w:val="22"/>
                <w:szCs w:val="22"/>
              </w:rPr>
              <w:t xml:space="preserve">seminar (analiza sodne prakse, analiza konkretnih zakonskih določb in določb avtonomnih pravnih virov, sestavljanje zahtevnejši pravnih vlog)   </w:t>
            </w:r>
          </w:p>
        </w:tc>
        <w:tc>
          <w:tcPr>
            <w:tcW w:w="142" w:type="dxa"/>
            <w:tcBorders>
              <w:top w:val="nil"/>
              <w:left w:val="single" w:sz="4" w:space="0" w:color="auto"/>
              <w:bottom w:val="nil"/>
              <w:right w:val="single" w:sz="4" w:space="0" w:color="auto"/>
            </w:tcBorders>
          </w:tcPr>
          <w:p w14:paraId="58F2C238" w14:textId="77777777" w:rsidR="00E31789" w:rsidRPr="00FD6257" w:rsidRDefault="00E31789" w:rsidP="00645B98">
            <w:pPr>
              <w:rPr>
                <w:rFonts w:cs="Calibri"/>
                <w:sz w:val="22"/>
                <w:szCs w:val="22"/>
              </w:rPr>
            </w:pPr>
          </w:p>
        </w:tc>
        <w:tc>
          <w:tcPr>
            <w:tcW w:w="4823" w:type="dxa"/>
            <w:gridSpan w:val="2"/>
            <w:tcBorders>
              <w:top w:val="single" w:sz="4" w:space="0" w:color="auto"/>
              <w:left w:val="single" w:sz="4" w:space="0" w:color="auto"/>
              <w:bottom w:val="single" w:sz="4" w:space="0" w:color="auto"/>
              <w:right w:val="single" w:sz="4" w:space="0" w:color="auto"/>
            </w:tcBorders>
          </w:tcPr>
          <w:p w14:paraId="58F2C239" w14:textId="77777777" w:rsidR="00E31789" w:rsidRPr="00FD6257" w:rsidRDefault="00E31789" w:rsidP="00645B98">
            <w:pPr>
              <w:rPr>
                <w:rFonts w:cs="Calibri"/>
                <w:sz w:val="22"/>
                <w:szCs w:val="22"/>
              </w:rPr>
            </w:pPr>
          </w:p>
        </w:tc>
      </w:tr>
      <w:tr w:rsidR="00E31789" w:rsidRPr="00FD6257" w14:paraId="58F2C241" w14:textId="77777777" w:rsidTr="00645B98">
        <w:tc>
          <w:tcPr>
            <w:tcW w:w="4023" w:type="dxa"/>
            <w:tcBorders>
              <w:top w:val="nil"/>
              <w:left w:val="nil"/>
              <w:bottom w:val="single" w:sz="4" w:space="0" w:color="auto"/>
              <w:right w:val="nil"/>
            </w:tcBorders>
          </w:tcPr>
          <w:p w14:paraId="58F2C23B" w14:textId="77777777" w:rsidR="00E31789" w:rsidRPr="00FD6257" w:rsidRDefault="00E31789" w:rsidP="00645B98">
            <w:pPr>
              <w:rPr>
                <w:rFonts w:cs="Calibri"/>
                <w:sz w:val="22"/>
                <w:szCs w:val="22"/>
              </w:rPr>
            </w:pPr>
          </w:p>
          <w:p w14:paraId="58F2C23C" w14:textId="77777777" w:rsidR="00E31789" w:rsidRPr="00FD6257" w:rsidRDefault="00E31789" w:rsidP="00645B98">
            <w:pPr>
              <w:rPr>
                <w:rFonts w:cs="Calibri"/>
                <w:sz w:val="22"/>
                <w:szCs w:val="22"/>
              </w:rPr>
            </w:pPr>
            <w:r w:rsidRPr="00FD6257">
              <w:rPr>
                <w:rFonts w:cs="Calibri"/>
                <w:sz w:val="22"/>
                <w:szCs w:val="22"/>
              </w:rPr>
              <w:t>Načini ocenjevanja:</w:t>
            </w:r>
          </w:p>
        </w:tc>
        <w:tc>
          <w:tcPr>
            <w:tcW w:w="1560" w:type="dxa"/>
            <w:gridSpan w:val="4"/>
            <w:tcBorders>
              <w:top w:val="nil"/>
              <w:left w:val="nil"/>
              <w:bottom w:val="single" w:sz="4" w:space="0" w:color="auto"/>
              <w:right w:val="nil"/>
            </w:tcBorders>
          </w:tcPr>
          <w:p w14:paraId="58F2C23D" w14:textId="77777777" w:rsidR="00E31789" w:rsidRPr="00FD6257" w:rsidRDefault="00E31789" w:rsidP="00645B98">
            <w:pPr>
              <w:rPr>
                <w:rFonts w:cs="Calibri"/>
                <w:sz w:val="22"/>
                <w:szCs w:val="22"/>
              </w:rPr>
            </w:pPr>
            <w:r w:rsidRPr="00FD6257">
              <w:rPr>
                <w:rFonts w:cs="Calibri"/>
                <w:sz w:val="22"/>
                <w:szCs w:val="22"/>
              </w:rPr>
              <w:t>Delež (v %) /</w:t>
            </w:r>
          </w:p>
          <w:p w14:paraId="58F2C23E" w14:textId="77777777" w:rsidR="00E31789" w:rsidRPr="00FD6257" w:rsidRDefault="00E31789" w:rsidP="00645B98">
            <w:pPr>
              <w:rPr>
                <w:rFonts w:cs="Calibri"/>
                <w:sz w:val="22"/>
                <w:szCs w:val="22"/>
              </w:rPr>
            </w:pPr>
            <w:r w:rsidRPr="00FD6257">
              <w:rPr>
                <w:rFonts w:cs="Calibri"/>
                <w:sz w:val="22"/>
                <w:szCs w:val="22"/>
              </w:rPr>
              <w:t>Weight (in %)</w:t>
            </w:r>
          </w:p>
        </w:tc>
        <w:tc>
          <w:tcPr>
            <w:tcW w:w="4112" w:type="dxa"/>
            <w:tcBorders>
              <w:top w:val="nil"/>
              <w:left w:val="nil"/>
              <w:bottom w:val="single" w:sz="4" w:space="0" w:color="auto"/>
              <w:right w:val="nil"/>
            </w:tcBorders>
          </w:tcPr>
          <w:p w14:paraId="58F2C23F" w14:textId="77777777" w:rsidR="00E31789" w:rsidRPr="00FD6257" w:rsidRDefault="00E31789" w:rsidP="00645B98">
            <w:pPr>
              <w:rPr>
                <w:rFonts w:cs="Calibri"/>
                <w:sz w:val="22"/>
                <w:szCs w:val="22"/>
              </w:rPr>
            </w:pPr>
          </w:p>
          <w:p w14:paraId="58F2C240" w14:textId="77777777" w:rsidR="00E31789" w:rsidRPr="00FD6257" w:rsidRDefault="00E31789" w:rsidP="00645B98">
            <w:pPr>
              <w:rPr>
                <w:rFonts w:cs="Calibri"/>
                <w:sz w:val="22"/>
                <w:szCs w:val="22"/>
              </w:rPr>
            </w:pPr>
            <w:r w:rsidRPr="00FD6257">
              <w:rPr>
                <w:rFonts w:cs="Calibri"/>
                <w:sz w:val="22"/>
                <w:szCs w:val="22"/>
              </w:rPr>
              <w:t>Assessment:</w:t>
            </w:r>
          </w:p>
        </w:tc>
      </w:tr>
      <w:tr w:rsidR="00E31789" w:rsidRPr="00FD6257" w14:paraId="58F2C248" w14:textId="77777777" w:rsidTr="00645B98">
        <w:trPr>
          <w:trHeight w:val="1104"/>
        </w:trPr>
        <w:tc>
          <w:tcPr>
            <w:tcW w:w="4023" w:type="dxa"/>
            <w:tcBorders>
              <w:top w:val="single" w:sz="4" w:space="0" w:color="auto"/>
              <w:left w:val="single" w:sz="4" w:space="0" w:color="auto"/>
              <w:bottom w:val="single" w:sz="4" w:space="0" w:color="auto"/>
              <w:right w:val="single" w:sz="4" w:space="0" w:color="auto"/>
            </w:tcBorders>
          </w:tcPr>
          <w:p w14:paraId="58F2C242" w14:textId="77777777" w:rsidR="00E31789" w:rsidRPr="00FD6257" w:rsidRDefault="00E31789" w:rsidP="00645B98">
            <w:pPr>
              <w:rPr>
                <w:rFonts w:cs="Calibri"/>
                <w:sz w:val="22"/>
                <w:szCs w:val="22"/>
              </w:rPr>
            </w:pPr>
            <w:r w:rsidRPr="00FD6257">
              <w:rPr>
                <w:rFonts w:cs="Calibri"/>
                <w:sz w:val="22"/>
                <w:szCs w:val="22"/>
              </w:rPr>
              <w:t>Izdelava seminarske naloge z obvezno predstavitvijo na seminarju (25% končne izpitne ocene)</w:t>
            </w:r>
            <w:r>
              <w:rPr>
                <w:rFonts w:cs="Calibri"/>
                <w:sz w:val="22"/>
                <w:szCs w:val="22"/>
              </w:rPr>
              <w:t>.</w:t>
            </w:r>
          </w:p>
          <w:p w14:paraId="58F2C243" w14:textId="77777777" w:rsidR="00E31789" w:rsidRPr="00FD6257" w:rsidRDefault="00E31789" w:rsidP="00645B98">
            <w:pPr>
              <w:rPr>
                <w:rFonts w:cs="Calibri"/>
                <w:sz w:val="22"/>
                <w:szCs w:val="22"/>
              </w:rPr>
            </w:pPr>
            <w:r w:rsidRPr="00FD6257">
              <w:rPr>
                <w:rFonts w:cs="Calibri"/>
                <w:sz w:val="22"/>
                <w:szCs w:val="22"/>
              </w:rPr>
              <w:t xml:space="preserve">Končni ustni </w:t>
            </w:r>
            <w:r>
              <w:rPr>
                <w:rFonts w:cs="Calibri"/>
                <w:sz w:val="22"/>
                <w:szCs w:val="22"/>
              </w:rPr>
              <w:t xml:space="preserve">ali pisni </w:t>
            </w:r>
            <w:r w:rsidRPr="00FD6257">
              <w:rPr>
                <w:rFonts w:cs="Calibri"/>
                <w:sz w:val="22"/>
                <w:szCs w:val="22"/>
              </w:rPr>
              <w:t xml:space="preserve">izpit. </w:t>
            </w:r>
          </w:p>
          <w:p w14:paraId="58F2C244" w14:textId="77777777" w:rsidR="00E31789" w:rsidRPr="00FD6257" w:rsidRDefault="00E31789" w:rsidP="00645B98">
            <w:pPr>
              <w:autoSpaceDE w:val="0"/>
              <w:autoSpaceDN w:val="0"/>
              <w:adjustRightInd w:val="0"/>
              <w:rPr>
                <w:rFonts w:cs="Calibri"/>
                <w:sz w:val="22"/>
                <w:szCs w:val="22"/>
              </w:rPr>
            </w:pPr>
            <w:r w:rsidRPr="00FD6257">
              <w:rPr>
                <w:rFonts w:cs="Calibri"/>
                <w:sz w:val="22"/>
                <w:szCs w:val="22"/>
              </w:rPr>
              <w:t>Izpit se oceni z ocenjevalno lestvico od 1 - 10: od 6-10 (pozitivno) oziroma 1-5 (negativno); ob upoštevanju Statuta UL in pravil Pravne fakultete.</w:t>
            </w:r>
          </w:p>
          <w:p w14:paraId="58F2C245" w14:textId="77777777" w:rsidR="00E31789" w:rsidRPr="00FD6257" w:rsidRDefault="00E31789" w:rsidP="00645B98">
            <w:pPr>
              <w:rPr>
                <w:rFonts w:cs="Calibri"/>
                <w:sz w:val="22"/>
                <w:szCs w:val="22"/>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14:paraId="58F2C246" w14:textId="77777777" w:rsidR="00E31789" w:rsidRPr="00FD6257" w:rsidRDefault="00E31789" w:rsidP="00645B98">
            <w:pPr>
              <w:rPr>
                <w:rFonts w:cs="Calibri"/>
                <w:sz w:val="22"/>
                <w:szCs w:val="22"/>
              </w:rPr>
            </w:pPr>
          </w:p>
        </w:tc>
        <w:tc>
          <w:tcPr>
            <w:tcW w:w="4112" w:type="dxa"/>
            <w:tcBorders>
              <w:top w:val="single" w:sz="4" w:space="0" w:color="auto"/>
              <w:left w:val="single" w:sz="4" w:space="0" w:color="auto"/>
              <w:bottom w:val="single" w:sz="4" w:space="0" w:color="auto"/>
              <w:right w:val="single" w:sz="4" w:space="0" w:color="auto"/>
            </w:tcBorders>
          </w:tcPr>
          <w:p w14:paraId="58F2C247" w14:textId="77777777" w:rsidR="00E31789" w:rsidRPr="00FD6257" w:rsidRDefault="00E31789" w:rsidP="00645B98">
            <w:pPr>
              <w:rPr>
                <w:rFonts w:cs="Calibri"/>
                <w:sz w:val="22"/>
                <w:szCs w:val="22"/>
              </w:rPr>
            </w:pPr>
            <w:r w:rsidRPr="00FD6257">
              <w:rPr>
                <w:rFonts w:cs="Calibri"/>
                <w:sz w:val="22"/>
                <w:szCs w:val="22"/>
              </w:rPr>
              <w:t>Type (examination, oral, coursework, project):</w:t>
            </w:r>
          </w:p>
        </w:tc>
      </w:tr>
      <w:tr w:rsidR="00E31789" w:rsidRPr="00FD6257" w14:paraId="58F2C24B" w14:textId="77777777" w:rsidTr="00645B98">
        <w:tc>
          <w:tcPr>
            <w:tcW w:w="9695" w:type="dxa"/>
            <w:gridSpan w:val="6"/>
            <w:tcBorders>
              <w:top w:val="single" w:sz="4" w:space="0" w:color="auto"/>
              <w:left w:val="nil"/>
              <w:bottom w:val="single" w:sz="4" w:space="0" w:color="auto"/>
              <w:right w:val="nil"/>
            </w:tcBorders>
          </w:tcPr>
          <w:p w14:paraId="58F2C249" w14:textId="77777777" w:rsidR="00E31789" w:rsidRPr="00FD6257" w:rsidRDefault="00E31789" w:rsidP="00645B98">
            <w:pPr>
              <w:rPr>
                <w:rFonts w:cs="Calibri"/>
                <w:sz w:val="22"/>
                <w:szCs w:val="22"/>
              </w:rPr>
            </w:pPr>
          </w:p>
          <w:p w14:paraId="58F2C24A" w14:textId="77777777" w:rsidR="00E31789" w:rsidRPr="00FD6257" w:rsidRDefault="00E31789" w:rsidP="00645B98">
            <w:pPr>
              <w:rPr>
                <w:rFonts w:cs="Calibri"/>
                <w:sz w:val="22"/>
                <w:szCs w:val="22"/>
              </w:rPr>
            </w:pPr>
            <w:r w:rsidRPr="00FD6257">
              <w:rPr>
                <w:rFonts w:cs="Calibri"/>
                <w:sz w:val="22"/>
                <w:szCs w:val="22"/>
              </w:rPr>
              <w:t xml:space="preserve">Reference nosilca / Lecturer's references: </w:t>
            </w:r>
          </w:p>
        </w:tc>
      </w:tr>
      <w:tr w:rsidR="00E31789" w:rsidRPr="00FD6257" w14:paraId="58F2C254" w14:textId="77777777" w:rsidTr="00645B98">
        <w:tc>
          <w:tcPr>
            <w:tcW w:w="9695" w:type="dxa"/>
            <w:gridSpan w:val="6"/>
            <w:tcBorders>
              <w:top w:val="single" w:sz="4" w:space="0" w:color="auto"/>
              <w:left w:val="single" w:sz="4" w:space="0" w:color="auto"/>
              <w:bottom w:val="single" w:sz="4" w:space="0" w:color="auto"/>
              <w:right w:val="single" w:sz="4" w:space="0" w:color="auto"/>
            </w:tcBorders>
          </w:tcPr>
          <w:p w14:paraId="58F2C24C" w14:textId="75B8DCD6" w:rsidR="00E31789" w:rsidRPr="00FD6257" w:rsidRDefault="005B577A" w:rsidP="00645B98">
            <w:pPr>
              <w:rPr>
                <w:rFonts w:cs="Calibri"/>
                <w:sz w:val="22"/>
                <w:szCs w:val="22"/>
              </w:rPr>
            </w:pPr>
            <w:r>
              <w:rPr>
                <w:rFonts w:cs="Calibri"/>
                <w:sz w:val="22"/>
                <w:szCs w:val="22"/>
              </w:rPr>
              <w:t>izr. prof</w:t>
            </w:r>
            <w:r w:rsidR="00E31789">
              <w:rPr>
                <w:rFonts w:cs="Calibri"/>
                <w:sz w:val="22"/>
                <w:szCs w:val="22"/>
              </w:rPr>
              <w:t>. dr.</w:t>
            </w:r>
            <w:r w:rsidR="00E31789" w:rsidRPr="00FD6257">
              <w:rPr>
                <w:rFonts w:cs="Calibri"/>
                <w:sz w:val="22"/>
                <w:szCs w:val="22"/>
              </w:rPr>
              <w:t xml:space="preserve"> Luka Tičar:</w:t>
            </w:r>
          </w:p>
          <w:p w14:paraId="4A36A6A9" w14:textId="335F15AC" w:rsidR="005B577A" w:rsidRPr="005D1E90" w:rsidRDefault="005B577A" w:rsidP="005B577A">
            <w:pPr>
              <w:rPr>
                <w:sz w:val="20"/>
              </w:rPr>
            </w:pPr>
            <w:r>
              <w:rPr>
                <w:rFonts w:cs="Calibri"/>
                <w:sz w:val="22"/>
                <w:szCs w:val="22"/>
              </w:rPr>
              <w:t>P</w:t>
            </w:r>
            <w:r>
              <w:rPr>
                <w:sz w:val="20"/>
              </w:rPr>
              <w:t>rimerno in učinkovito delovnopravno varstvo- Izziv za sedanjost in prihodnost</w:t>
            </w:r>
            <w:r w:rsidRPr="005D1E90">
              <w:rPr>
                <w:sz w:val="20"/>
              </w:rPr>
              <w:t>,</w:t>
            </w:r>
            <w:r>
              <w:rPr>
                <w:sz w:val="20"/>
              </w:rPr>
              <w:t xml:space="preserve"> Litteralis,</w:t>
            </w:r>
            <w:r w:rsidRPr="005D1E90">
              <w:rPr>
                <w:sz w:val="20"/>
              </w:rPr>
              <w:t xml:space="preserve"> Pravna fakulteta</w:t>
            </w:r>
            <w:r>
              <w:rPr>
                <w:sz w:val="20"/>
              </w:rPr>
              <w:t>,</w:t>
            </w:r>
            <w:r w:rsidRPr="005D1E90">
              <w:rPr>
                <w:sz w:val="20"/>
              </w:rPr>
              <w:t xml:space="preserve">  Ljubljan</w:t>
            </w:r>
            <w:r>
              <w:rPr>
                <w:sz w:val="20"/>
              </w:rPr>
              <w:t>a</w:t>
            </w:r>
            <w:r w:rsidRPr="005D1E90">
              <w:rPr>
                <w:sz w:val="20"/>
              </w:rPr>
              <w:t>, 202</w:t>
            </w:r>
            <w:r>
              <w:rPr>
                <w:sz w:val="20"/>
              </w:rPr>
              <w:t>0;</w:t>
            </w:r>
          </w:p>
          <w:p w14:paraId="58F2C24D" w14:textId="21536FE3" w:rsidR="00E31789" w:rsidRPr="00FD6257" w:rsidRDefault="00E31789" w:rsidP="00645B98">
            <w:pPr>
              <w:rPr>
                <w:rFonts w:cs="Calibri"/>
                <w:sz w:val="22"/>
                <w:szCs w:val="22"/>
              </w:rPr>
            </w:pPr>
            <w:r w:rsidRPr="00FD6257">
              <w:rPr>
                <w:rFonts w:cs="Calibri"/>
                <w:sz w:val="22"/>
                <w:szCs w:val="22"/>
              </w:rPr>
              <w:t xml:space="preserve">Sprememba delodajalca v insolvenčnih postopkih. </w:t>
            </w:r>
            <w:r w:rsidRPr="00FD6257">
              <w:rPr>
                <w:rFonts w:cs="Calibri"/>
                <w:i/>
                <w:iCs/>
                <w:sz w:val="22"/>
                <w:szCs w:val="22"/>
              </w:rPr>
              <w:t>Podjet. delo</w:t>
            </w:r>
            <w:r w:rsidRPr="00FD6257">
              <w:rPr>
                <w:rFonts w:cs="Calibri"/>
                <w:sz w:val="22"/>
                <w:szCs w:val="22"/>
              </w:rPr>
              <w:t>, avg. 2006, letn. 32, št. 5, str. 832-847</w:t>
            </w:r>
          </w:p>
          <w:p w14:paraId="58F2C24E" w14:textId="77777777" w:rsidR="00E31789" w:rsidRPr="00FD6257" w:rsidRDefault="00E31789" w:rsidP="00645B98">
            <w:pPr>
              <w:rPr>
                <w:rFonts w:cs="Calibri"/>
                <w:sz w:val="22"/>
                <w:szCs w:val="22"/>
              </w:rPr>
            </w:pPr>
            <w:r w:rsidRPr="00FD6257">
              <w:rPr>
                <w:rFonts w:cs="Calibri"/>
                <w:sz w:val="22"/>
                <w:szCs w:val="22"/>
              </w:rPr>
              <w:t xml:space="preserve">Varstvo osebnih podatkov in zasebnosti v delovni zakonodaji. V: KRESAL, Barbara (ur.). </w:t>
            </w:r>
            <w:r w:rsidRPr="00FD6257">
              <w:rPr>
                <w:rFonts w:cs="Calibri"/>
                <w:i/>
                <w:iCs/>
                <w:sz w:val="22"/>
                <w:szCs w:val="22"/>
              </w:rPr>
              <w:t>VI. dnevi delovnega prava in socialne varnosti</w:t>
            </w:r>
            <w:r w:rsidRPr="00FD6257">
              <w:rPr>
                <w:rFonts w:cs="Calibri"/>
                <w:sz w:val="22"/>
                <w:szCs w:val="22"/>
              </w:rPr>
              <w:t>, (Delavci in delodajalci, Letn. 7, 2007, št. 2/3). Ljubljana: Inštitut za delo pri Pravni fakulteti, 2007, str. 215-230</w:t>
            </w:r>
          </w:p>
          <w:p w14:paraId="58F2C24F" w14:textId="77777777" w:rsidR="00E31789" w:rsidRDefault="00E31789" w:rsidP="00645B98">
            <w:pPr>
              <w:autoSpaceDE w:val="0"/>
              <w:autoSpaceDN w:val="0"/>
              <w:adjustRightInd w:val="0"/>
              <w:rPr>
                <w:rFonts w:cs="Calibri"/>
                <w:sz w:val="22"/>
                <w:szCs w:val="22"/>
              </w:rPr>
            </w:pPr>
            <w:r w:rsidRPr="00FD6257">
              <w:rPr>
                <w:rFonts w:cs="Calibri"/>
                <w:sz w:val="22"/>
                <w:szCs w:val="22"/>
              </w:rPr>
              <w:t xml:space="preserve">Ustavnopravni vidik prepovedi konkurence v delovnem pravu. </w:t>
            </w:r>
            <w:r w:rsidRPr="00FD6257">
              <w:rPr>
                <w:rFonts w:cs="Calibri"/>
                <w:i/>
                <w:iCs/>
                <w:sz w:val="22"/>
                <w:szCs w:val="22"/>
              </w:rPr>
              <w:t>Revus (Ljubl.)</w:t>
            </w:r>
            <w:r w:rsidRPr="00FD6257">
              <w:rPr>
                <w:rFonts w:cs="Calibri"/>
                <w:sz w:val="22"/>
                <w:szCs w:val="22"/>
              </w:rPr>
              <w:t>, 2003, letn. 1, št. 1, str. 86-93.</w:t>
            </w:r>
          </w:p>
          <w:p w14:paraId="58F2C250" w14:textId="4FFCFCAC" w:rsidR="00E31789" w:rsidRDefault="00E31789" w:rsidP="00645B98">
            <w:pPr>
              <w:autoSpaceDE w:val="0"/>
              <w:autoSpaceDN w:val="0"/>
              <w:adjustRightInd w:val="0"/>
            </w:pPr>
            <w:bookmarkStart w:id="6" w:name="3"/>
            <w:bookmarkEnd w:id="6"/>
            <w:r>
              <w:t xml:space="preserve">Posebnosti mediacije v delovnih sporih. </w:t>
            </w:r>
            <w:r>
              <w:rPr>
                <w:i/>
                <w:iCs/>
              </w:rPr>
              <w:t>Delavci in delodajalci</w:t>
            </w:r>
            <w:r>
              <w:t>, ISSN 1580-6316, 2011, letn. 11, [št.] 2/3, str. 353-369</w:t>
            </w:r>
          </w:p>
          <w:p w14:paraId="58F2C251" w14:textId="377620EF" w:rsidR="00E31789" w:rsidRPr="00FD6257" w:rsidRDefault="00E31789" w:rsidP="00645B98">
            <w:pPr>
              <w:autoSpaceDE w:val="0"/>
              <w:autoSpaceDN w:val="0"/>
              <w:adjustRightInd w:val="0"/>
              <w:rPr>
                <w:rFonts w:eastAsia="MS Mincho" w:cs="Calibri"/>
                <w:b/>
                <w:bCs/>
                <w:sz w:val="22"/>
                <w:szCs w:val="22"/>
              </w:rPr>
            </w:pPr>
            <w:r>
              <w:t xml:space="preserve">Uveljavljanje pravic iz delovnega razmerja po ZDR. V: BUBNOV-ŠKOBERNE, Anjuta, et al. </w:t>
            </w:r>
            <w:r>
              <w:rPr>
                <w:i/>
                <w:iCs/>
              </w:rPr>
              <w:t>Delovno pravo in socialna varnost</w:t>
            </w:r>
            <w:r>
              <w:t>. Ljubljana: Inštitut za primerjalno pravo pri Pravni fakulteti: Inštitut za delo pri Pravni fakulteti, 2003, str. 45-59.</w:t>
            </w:r>
          </w:p>
          <w:p w14:paraId="58F2C252" w14:textId="77777777" w:rsidR="00E31789" w:rsidRPr="00FD6257" w:rsidRDefault="00E31789" w:rsidP="00645B98">
            <w:pPr>
              <w:rPr>
                <w:rFonts w:cs="Calibri"/>
                <w:sz w:val="22"/>
                <w:szCs w:val="22"/>
              </w:rPr>
            </w:pPr>
          </w:p>
          <w:p w14:paraId="58F2C253" w14:textId="77777777" w:rsidR="00E31789" w:rsidRPr="00FD6257" w:rsidRDefault="00E31789" w:rsidP="00645B98">
            <w:pPr>
              <w:rPr>
                <w:rFonts w:cs="Calibri"/>
                <w:sz w:val="22"/>
                <w:szCs w:val="22"/>
              </w:rPr>
            </w:pPr>
          </w:p>
        </w:tc>
      </w:tr>
    </w:tbl>
    <w:p w14:paraId="58F2C255" w14:textId="77777777" w:rsidR="00E31789" w:rsidRPr="00FD6257" w:rsidRDefault="00E31789" w:rsidP="00E31789">
      <w:pPr>
        <w:rPr>
          <w:rFonts w:cs="Calibri"/>
          <w:sz w:val="22"/>
          <w:szCs w:val="22"/>
        </w:rPr>
      </w:pPr>
    </w:p>
    <w:p w14:paraId="58F2C256" w14:textId="77777777" w:rsidR="008238E2" w:rsidRDefault="008238E2">
      <w:bookmarkStart w:id="7" w:name="_GoBack"/>
      <w:bookmarkEnd w:id="7"/>
    </w:p>
    <w:sectPr w:rsidR="008238E2" w:rsidSect="007343F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91923"/>
    <w:multiLevelType w:val="hybridMultilevel"/>
    <w:tmpl w:val="BE12744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4"/>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E6D528E"/>
    <w:multiLevelType w:val="hybridMultilevel"/>
    <w:tmpl w:val="3EC452D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0C65CD4"/>
    <w:multiLevelType w:val="hybridMultilevel"/>
    <w:tmpl w:val="25E40A1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6CAA158E"/>
    <w:multiLevelType w:val="multilevel"/>
    <w:tmpl w:val="39B65C4E"/>
    <w:lvl w:ilvl="0">
      <w:start w:val="1"/>
      <w:numFmt w:val="decimal"/>
      <w:pStyle w:val="literatu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89"/>
    <w:rsid w:val="00314944"/>
    <w:rsid w:val="005B577A"/>
    <w:rsid w:val="008238E2"/>
    <w:rsid w:val="00AE040A"/>
    <w:rsid w:val="00B83FEE"/>
    <w:rsid w:val="00C83E74"/>
    <w:rsid w:val="00E31789"/>
    <w:rsid w:val="00EA1E36"/>
    <w:rsid w:val="00EF0EA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C170"/>
  <w15:docId w15:val="{7022A623-2AC3-48B1-A8CE-472CD9B1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1789"/>
    <w:pPr>
      <w:spacing w:after="0" w:line="240" w:lineRule="auto"/>
    </w:pPr>
    <w:rPr>
      <w:rFonts w:ascii="Calibri" w:eastAsia="Calibri" w:hAnsi="Calibri" w:cs="Times New Roman"/>
      <w:sz w:val="24"/>
      <w:szCs w:val="24"/>
      <w:lang w:eastAsia="sl-SI"/>
    </w:rPr>
  </w:style>
  <w:style w:type="paragraph" w:styleId="Naslov3">
    <w:name w:val="heading 3"/>
    <w:basedOn w:val="Navaden"/>
    <w:next w:val="Navaden"/>
    <w:link w:val="Naslov3Znak"/>
    <w:qFormat/>
    <w:rsid w:val="00E31789"/>
    <w:pPr>
      <w:keepNext/>
      <w:jc w:val="center"/>
      <w:outlineLvl w:val="2"/>
    </w:pPr>
    <w:rPr>
      <w:rFonts w:ascii="Times New Roman" w:eastAsia="Times New Roman" w:hAnsi="Times New Roman"/>
      <w:b/>
      <w:bCs/>
      <w:color w:val="0000FF"/>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E31789"/>
    <w:rPr>
      <w:rFonts w:ascii="Times New Roman" w:eastAsia="Times New Roman" w:hAnsi="Times New Roman" w:cs="Times New Roman"/>
      <w:b/>
      <w:bCs/>
      <w:color w:val="0000FF"/>
      <w:sz w:val="24"/>
      <w:szCs w:val="24"/>
    </w:rPr>
  </w:style>
  <w:style w:type="paragraph" w:customStyle="1" w:styleId="literatura">
    <w:name w:val="literatura"/>
    <w:basedOn w:val="Navaden"/>
    <w:rsid w:val="00E31789"/>
    <w:pPr>
      <w:numPr>
        <w:numId w:val="4"/>
      </w:numPr>
      <w:tabs>
        <w:tab w:val="left" w:pos="284"/>
      </w:tabs>
      <w:ind w:left="568" w:hanging="284"/>
      <w:jc w:val="both"/>
    </w:pPr>
    <w:rPr>
      <w:rFonts w:ascii="Times New Roman" w:eastAsia="Times New Roman" w:hAnsi="Times New Roman"/>
      <w:sz w:val="22"/>
      <w:szCs w:val="20"/>
    </w:rPr>
  </w:style>
  <w:style w:type="paragraph" w:styleId="Noga">
    <w:name w:val="footer"/>
    <w:basedOn w:val="Navaden"/>
    <w:link w:val="NogaZnak"/>
    <w:rsid w:val="00E31789"/>
    <w:pPr>
      <w:tabs>
        <w:tab w:val="center" w:pos="4320"/>
        <w:tab w:val="right" w:pos="8640"/>
      </w:tabs>
    </w:pPr>
    <w:rPr>
      <w:rFonts w:ascii="Times New Roman" w:eastAsia="Times New Roman" w:hAnsi="Times New Roman"/>
      <w:sz w:val="20"/>
      <w:szCs w:val="20"/>
      <w:lang w:eastAsia="en-US"/>
    </w:rPr>
  </w:style>
  <w:style w:type="character" w:customStyle="1" w:styleId="NogaZnak">
    <w:name w:val="Noga Znak"/>
    <w:basedOn w:val="Privzetapisavaodstavka"/>
    <w:link w:val="Noga"/>
    <w:rsid w:val="00E31789"/>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unhideWhenUsed/>
    <w:rsid w:val="00B83FE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3FEE"/>
    <w:rPr>
      <w:rFonts w:ascii="Tahoma" w:eastAsia="Calibri"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Tičar</dc:creator>
  <cp:lastModifiedBy>Marentič, Maja</cp:lastModifiedBy>
  <cp:revision>2</cp:revision>
  <dcterms:created xsi:type="dcterms:W3CDTF">2024-01-16T07:02:00Z</dcterms:created>
  <dcterms:modified xsi:type="dcterms:W3CDTF">2024-01-16T07:02:00Z</dcterms:modified>
</cp:coreProperties>
</file>