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32780F" w:rsidRPr="00671B20" w14:paraId="6D3056A9" w14:textId="77777777" w:rsidTr="00EF7D30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8F5157" w14:textId="77777777" w:rsidR="006A3D64" w:rsidRPr="00671B20" w:rsidRDefault="006A3D64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UČNI NAČRT PREDMETA / COURSE SYLLABUS</w:t>
            </w:r>
          </w:p>
        </w:tc>
      </w:tr>
      <w:tr w:rsidR="0032780F" w:rsidRPr="00671B20" w14:paraId="6EAEBE99" w14:textId="77777777" w:rsidTr="00EF7D30">
        <w:tc>
          <w:tcPr>
            <w:tcW w:w="1799" w:type="dxa"/>
            <w:gridSpan w:val="3"/>
          </w:tcPr>
          <w:p w14:paraId="72798C5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Predmet: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562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bookmarkStart w:id="0" w:name="Predmet"/>
            <w:bookmarkEnd w:id="0"/>
            <w:r w:rsidRPr="00671B20">
              <w:rPr>
                <w:rFonts w:cs="Calibri"/>
                <w:sz w:val="22"/>
                <w:szCs w:val="22"/>
                <w:lang w:val="en-GB"/>
              </w:rPr>
              <w:t>MEDNARODNO KAZENSKO PRAVO</w:t>
            </w:r>
          </w:p>
        </w:tc>
      </w:tr>
      <w:tr w:rsidR="0032780F" w:rsidRPr="00671B20" w14:paraId="2BC8F7C6" w14:textId="77777777" w:rsidTr="00EF7D30">
        <w:tc>
          <w:tcPr>
            <w:tcW w:w="1799" w:type="dxa"/>
            <w:gridSpan w:val="3"/>
          </w:tcPr>
          <w:p w14:paraId="40D2F728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1DE" w14:textId="77777777" w:rsidR="0032780F" w:rsidRPr="00671B20" w:rsidRDefault="00197B54" w:rsidP="0032780F">
            <w:pPr>
              <w:rPr>
                <w:rFonts w:cs="Calibri"/>
                <w:sz w:val="22"/>
                <w:szCs w:val="22"/>
                <w:lang w:val="en-GB"/>
              </w:rPr>
            </w:pPr>
            <w:bookmarkStart w:id="1" w:name="APredmet"/>
            <w:bookmarkEnd w:id="1"/>
            <w:r w:rsidRPr="00671B20">
              <w:rPr>
                <w:rFonts w:cs="Calibri"/>
                <w:sz w:val="22"/>
                <w:szCs w:val="22"/>
                <w:lang w:val="en-GB"/>
              </w:rPr>
              <w:t>INTERNATIONAL CRIMINAL LAW</w:t>
            </w:r>
          </w:p>
        </w:tc>
      </w:tr>
      <w:tr w:rsidR="0032780F" w:rsidRPr="00671B20" w14:paraId="18FC482D" w14:textId="77777777" w:rsidTr="00EF7D30">
        <w:tc>
          <w:tcPr>
            <w:tcW w:w="3307" w:type="dxa"/>
            <w:gridSpan w:val="5"/>
            <w:vAlign w:val="center"/>
          </w:tcPr>
          <w:p w14:paraId="57D61FC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4C8ED024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DD3D8A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32B8E3B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7B06E7F6" w14:textId="77777777" w:rsidTr="00EF7D30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9988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Študijski program in stopnja</w:t>
            </w:r>
          </w:p>
          <w:p w14:paraId="6B0E2785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F126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Študijska smer</w:t>
            </w:r>
          </w:p>
          <w:p w14:paraId="7241C145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07BAF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Letnik</w:t>
            </w:r>
          </w:p>
          <w:p w14:paraId="2AB5E016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27AF8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Semester</w:t>
            </w:r>
          </w:p>
          <w:p w14:paraId="431440CE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Semester</w:t>
            </w:r>
          </w:p>
        </w:tc>
      </w:tr>
      <w:tr w:rsidR="0032780F" w:rsidRPr="00671B20" w14:paraId="464300F9" w14:textId="77777777" w:rsidTr="00EF7D3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35C" w14:textId="77777777" w:rsidR="0032780F" w:rsidRPr="00671B20" w:rsidRDefault="0032780F" w:rsidP="0032780F">
            <w:pPr>
              <w:rPr>
                <w:rFonts w:cs="Calibri"/>
                <w:b/>
                <w:bCs/>
                <w:lang w:val="en-GB"/>
              </w:rPr>
            </w:pPr>
            <w:r w:rsidRPr="00671B20">
              <w:rPr>
                <w:b/>
                <w:lang w:val="en-GB"/>
              </w:rPr>
              <w:t>Drugostopenjski magistrski program Pravo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829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Mednarodnopravna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41A2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b/>
                <w:lang w:val="en-GB"/>
              </w:rPr>
              <w:t>Prvi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BDB1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b/>
                <w:lang w:val="en-GB"/>
              </w:rPr>
              <w:t>Prvi</w:t>
            </w:r>
          </w:p>
        </w:tc>
      </w:tr>
      <w:tr w:rsidR="0032780F" w:rsidRPr="00671B20" w14:paraId="2B0F5E88" w14:textId="77777777" w:rsidTr="00EF7D3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9D9" w14:textId="77777777" w:rsidR="0032780F" w:rsidRPr="00671B20" w:rsidRDefault="00197B54" w:rsidP="0032780F">
            <w:pPr>
              <w:rPr>
                <w:rFonts w:cs="Calibri"/>
                <w:b/>
                <w:bCs/>
                <w:lang w:val="en-GB"/>
              </w:rPr>
            </w:pPr>
            <w:r w:rsidRPr="00671B20">
              <w:rPr>
                <w:rFonts w:cs="Calibri"/>
                <w:b/>
                <w:lang w:val="en-GB"/>
              </w:rPr>
              <w:t>Second cycle master's study program in Law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380F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International law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333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First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8DDE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First</w:t>
            </w:r>
            <w:r w:rsidRPr="00671B20" w:rsidDel="00197B54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32780F" w:rsidRPr="00671B20" w14:paraId="2D9568BE" w14:textId="77777777" w:rsidTr="00EF7D30">
        <w:trPr>
          <w:trHeight w:val="103"/>
        </w:trPr>
        <w:tc>
          <w:tcPr>
            <w:tcW w:w="9690" w:type="dxa"/>
            <w:gridSpan w:val="18"/>
          </w:tcPr>
          <w:p w14:paraId="07AA5BEE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32780F" w:rsidRPr="00671B20" w14:paraId="485250EF" w14:textId="77777777" w:rsidTr="00EF7D30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0C1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B6F" w14:textId="77777777" w:rsidR="0032780F" w:rsidRPr="00671B20" w:rsidRDefault="0032780F" w:rsidP="00197B54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b/>
                <w:lang w:val="en-GB"/>
              </w:rPr>
              <w:t xml:space="preserve">Obvezni strokovni predmet </w:t>
            </w:r>
            <w:r w:rsidR="00197B54" w:rsidRPr="00671B20">
              <w:rPr>
                <w:rFonts w:cs="Calibri"/>
                <w:b/>
                <w:sz w:val="22"/>
                <w:szCs w:val="22"/>
                <w:lang w:val="en-GB"/>
              </w:rPr>
              <w:t>/ obligatory expert course</w:t>
            </w:r>
          </w:p>
        </w:tc>
      </w:tr>
      <w:tr w:rsidR="0032780F" w:rsidRPr="00671B20" w14:paraId="7413A308" w14:textId="77777777" w:rsidTr="00EF7D30">
        <w:tc>
          <w:tcPr>
            <w:tcW w:w="5718" w:type="dxa"/>
            <w:gridSpan w:val="12"/>
          </w:tcPr>
          <w:p w14:paraId="18F7B1F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36C6E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11479501" w14:textId="77777777" w:rsidTr="00EF7D30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2597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62A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6EAFBFD7" w14:textId="77777777" w:rsidTr="00EF7D30">
        <w:tc>
          <w:tcPr>
            <w:tcW w:w="9690" w:type="dxa"/>
            <w:gridSpan w:val="18"/>
          </w:tcPr>
          <w:p w14:paraId="022C0B0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25A00912" w14:textId="77777777" w:rsidTr="00EF7D30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F931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Predavanja</w:t>
            </w:r>
          </w:p>
          <w:p w14:paraId="5899DC9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0C93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Seminar</w:t>
            </w:r>
          </w:p>
          <w:p w14:paraId="16248246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686DB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Vaje</w:t>
            </w:r>
          </w:p>
          <w:p w14:paraId="3C9047B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C0E40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Klinične vaje</w:t>
            </w:r>
          </w:p>
          <w:p w14:paraId="7D5B6DC3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EBABE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Druge oblike študija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EC9E3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Samost. delo</w:t>
            </w:r>
          </w:p>
          <w:p w14:paraId="5BB3F283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216B7EE8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052A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ECTS</w:t>
            </w:r>
          </w:p>
        </w:tc>
      </w:tr>
      <w:tr w:rsidR="0032780F" w:rsidRPr="00671B20" w14:paraId="46F1D196" w14:textId="77777777" w:rsidTr="00EF7D30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ABB1" w14:textId="77777777" w:rsidR="0032780F" w:rsidRPr="00671B20" w:rsidRDefault="00852B5B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75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68F7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008" w14:textId="77777777" w:rsidR="0032780F" w:rsidRPr="00671B20" w:rsidRDefault="00852B5B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8482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1B49" w14:textId="77777777" w:rsidR="0032780F" w:rsidRPr="00671B20" w:rsidRDefault="000D14AA" w:rsidP="000D14AA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1DF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DBD07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50A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8</w:t>
            </w:r>
          </w:p>
        </w:tc>
      </w:tr>
      <w:tr w:rsidR="0032780F" w:rsidRPr="00671B20" w14:paraId="5D4C85AC" w14:textId="77777777" w:rsidTr="00EF7D30">
        <w:tc>
          <w:tcPr>
            <w:tcW w:w="9690" w:type="dxa"/>
            <w:gridSpan w:val="18"/>
          </w:tcPr>
          <w:p w14:paraId="46023232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</w:tr>
      <w:tr w:rsidR="0032780F" w:rsidRPr="00671B20" w14:paraId="42AAE78E" w14:textId="77777777">
        <w:tc>
          <w:tcPr>
            <w:tcW w:w="3307" w:type="dxa"/>
            <w:gridSpan w:val="5"/>
          </w:tcPr>
          <w:p w14:paraId="5BB10BB2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14D" w14:textId="27E08596" w:rsidR="0032780F" w:rsidRPr="00671B20" w:rsidRDefault="0032780F" w:rsidP="0004398B">
            <w:pPr>
              <w:rPr>
                <w:rFonts w:cs="Calibri"/>
                <w:sz w:val="22"/>
                <w:szCs w:val="22"/>
                <w:lang w:val="en-GB"/>
              </w:rPr>
            </w:pPr>
            <w:bookmarkStart w:id="2" w:name="Predavatelj"/>
            <w:bookmarkEnd w:id="2"/>
            <w:r w:rsidRPr="00EF7D30">
              <w:rPr>
                <w:sz w:val="22"/>
                <w:lang w:val="de-DE"/>
              </w:rPr>
              <w:t xml:space="preserve">prof. dr. Damjan Korošec, </w:t>
            </w:r>
            <w:r w:rsidR="001A13D3" w:rsidRPr="009B78F4">
              <w:rPr>
                <w:rFonts w:cs="Calibri"/>
                <w:sz w:val="22"/>
                <w:szCs w:val="22"/>
              </w:rPr>
              <w:t>doc</w:t>
            </w:r>
            <w:r w:rsidR="001A13D3" w:rsidRPr="00EF7D30">
              <w:rPr>
                <w:sz w:val="22"/>
              </w:rPr>
              <w:t xml:space="preserve">. dr. </w:t>
            </w:r>
            <w:r w:rsidR="001A13D3" w:rsidRPr="009B78F4">
              <w:rPr>
                <w:rFonts w:cs="Calibri"/>
                <w:sz w:val="22"/>
                <w:szCs w:val="22"/>
              </w:rPr>
              <w:t>Maša Kovič Dine, doc. dr. Maruša Tekavčič Veber</w:t>
            </w:r>
          </w:p>
        </w:tc>
      </w:tr>
      <w:tr w:rsidR="0032780F" w:rsidRPr="00671B20" w14:paraId="65E9DA58" w14:textId="77777777" w:rsidTr="00EF7D30">
        <w:trPr>
          <w:trHeight w:val="325"/>
        </w:trPr>
        <w:tc>
          <w:tcPr>
            <w:tcW w:w="9690" w:type="dxa"/>
            <w:gridSpan w:val="18"/>
          </w:tcPr>
          <w:p w14:paraId="3182119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28D7998D" w14:textId="77777777" w:rsidTr="00EF7D30">
        <w:tc>
          <w:tcPr>
            <w:tcW w:w="1641" w:type="dxa"/>
            <w:gridSpan w:val="2"/>
            <w:vMerge w:val="restart"/>
          </w:tcPr>
          <w:p w14:paraId="576A51E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Jeziki / </w:t>
            </w:r>
          </w:p>
          <w:p w14:paraId="24D53FB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Languages:</w:t>
            </w:r>
          </w:p>
        </w:tc>
        <w:tc>
          <w:tcPr>
            <w:tcW w:w="2241" w:type="dxa"/>
            <w:gridSpan w:val="4"/>
          </w:tcPr>
          <w:p w14:paraId="23FA5B26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A75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bookmarkStart w:id="3" w:name="Jezik"/>
            <w:bookmarkEnd w:id="3"/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slovenski / Slovenian</w:t>
            </w:r>
          </w:p>
        </w:tc>
      </w:tr>
      <w:tr w:rsidR="0032780F" w:rsidRPr="00671B20" w14:paraId="7954D7F7" w14:textId="77777777" w:rsidTr="00EF7D30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722A710A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</w:tc>
        <w:tc>
          <w:tcPr>
            <w:tcW w:w="2241" w:type="dxa"/>
            <w:gridSpan w:val="4"/>
          </w:tcPr>
          <w:p w14:paraId="613F7D06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AB3" w14:textId="77777777" w:rsidR="0032780F" w:rsidRPr="00671B20" w:rsidRDefault="00197B54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bookmarkStart w:id="4" w:name="JezikV"/>
            <w:bookmarkEnd w:id="4"/>
            <w:r w:rsidRPr="00671B20">
              <w:rPr>
                <w:rFonts w:cs="Calibri"/>
                <w:bCs/>
                <w:sz w:val="22"/>
                <w:szCs w:val="22"/>
                <w:lang w:val="en-GB"/>
              </w:rPr>
              <w:t>slovenski / Slovenian</w:t>
            </w:r>
          </w:p>
        </w:tc>
      </w:tr>
      <w:tr w:rsidR="0032780F" w:rsidRPr="00671B20" w14:paraId="61FD2D86" w14:textId="77777777" w:rsidTr="00EF7D30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E10FF" w14:textId="77777777" w:rsidR="0032780F" w:rsidRPr="00EF7D30" w:rsidRDefault="0032780F" w:rsidP="0032780F">
            <w:pPr>
              <w:rPr>
                <w:sz w:val="22"/>
              </w:rPr>
            </w:pPr>
          </w:p>
          <w:p w14:paraId="360EE0A0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73CC39BB" w14:textId="77777777" w:rsidR="0032780F" w:rsidRPr="00EF7D30" w:rsidRDefault="0032780F" w:rsidP="0032780F">
            <w:pPr>
              <w:rPr>
                <w:sz w:val="22"/>
              </w:rPr>
            </w:pPr>
          </w:p>
          <w:p w14:paraId="7CCFB271" w14:textId="77777777" w:rsidR="0032780F" w:rsidRPr="00EF7D30" w:rsidRDefault="0032780F" w:rsidP="0032780F">
            <w:pPr>
              <w:rPr>
                <w:sz w:val="22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D8E77" w14:textId="77777777" w:rsidR="0032780F" w:rsidRPr="00EF7D30" w:rsidRDefault="0032780F" w:rsidP="0032780F">
            <w:pPr>
              <w:rPr>
                <w:sz w:val="22"/>
              </w:rPr>
            </w:pPr>
          </w:p>
          <w:p w14:paraId="084F36F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Prerequisits:</w:t>
            </w:r>
          </w:p>
        </w:tc>
      </w:tr>
      <w:tr w:rsidR="0032780F" w:rsidRPr="00671B20" w14:paraId="1E9AFC43" w14:textId="77777777" w:rsidTr="00EF7D30">
        <w:trPr>
          <w:trHeight w:val="266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E90" w14:textId="77777777" w:rsidR="0032780F" w:rsidRPr="00671B20" w:rsidRDefault="00197B54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eastAsia="MS Mincho" w:cs="Calibri"/>
                <w:sz w:val="22"/>
                <w:szCs w:val="22"/>
                <w:lang w:val="en-GB"/>
              </w:rPr>
              <w:t>Končana I. stopnja.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ABED5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706" w14:textId="77777777" w:rsidR="0032780F" w:rsidRPr="00671B20" w:rsidRDefault="00197B54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Completed first cycle of study.</w:t>
            </w:r>
          </w:p>
        </w:tc>
      </w:tr>
      <w:tr w:rsidR="0032780F" w:rsidRPr="00671B20" w14:paraId="208C4D4F" w14:textId="77777777" w:rsidTr="00EF7D30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C49F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4A3E685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Vsebina: </w:t>
            </w:r>
          </w:p>
        </w:tc>
        <w:tc>
          <w:tcPr>
            <w:tcW w:w="152" w:type="dxa"/>
            <w:gridSpan w:val="2"/>
          </w:tcPr>
          <w:p w14:paraId="5735A2C0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19517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1AB1581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Content (Syllabus outline):</w:t>
            </w:r>
          </w:p>
        </w:tc>
      </w:tr>
      <w:tr w:rsidR="0032780F" w:rsidRPr="00671B20" w14:paraId="6D936F69" w14:textId="77777777" w:rsidTr="00EF7D30">
        <w:trPr>
          <w:trHeight w:val="2665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8DF7" w14:textId="77777777" w:rsidR="0032780F" w:rsidRPr="00EF7D30" w:rsidRDefault="0032780F" w:rsidP="0032780F">
            <w:pPr>
              <w:rPr>
                <w:i/>
                <w:sz w:val="22"/>
              </w:rPr>
            </w:pPr>
            <w:r w:rsidRPr="00EF7D30">
              <w:rPr>
                <w:sz w:val="22"/>
              </w:rPr>
              <w:t>1. Splošno o naravi mednarodnega kazenskega prava</w:t>
            </w:r>
          </w:p>
          <w:p w14:paraId="2F191466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>2. Materialnopravni del</w:t>
            </w:r>
          </w:p>
          <w:p w14:paraId="70305475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 xml:space="preserve">2.1. Splošni del mednarodnega kazenskega prava </w:t>
            </w:r>
          </w:p>
          <w:p w14:paraId="092510AE" w14:textId="77777777" w:rsidR="0032780F" w:rsidRPr="00EF7D30" w:rsidRDefault="0032780F" w:rsidP="0032780F">
            <w:pPr>
              <w:rPr>
                <w:i/>
                <w:sz w:val="22"/>
              </w:rPr>
            </w:pPr>
            <w:r w:rsidRPr="00EF7D30">
              <w:rPr>
                <w:sz w:val="22"/>
              </w:rPr>
              <w:t>2.2. Posebni del mednarodnega kazenskega prava (genocid, agresija, vojna hudodelstva, hudodelstva proti človečnosti, mučenje, suženjstvo in podobne diskriminacije, terorizem, gospodarsko kazensko pravo)</w:t>
            </w:r>
          </w:p>
          <w:p w14:paraId="6DFDA692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lastRenderedPageBreak/>
              <w:t xml:space="preserve">3. Mednarodno kazensko pravosodje </w:t>
            </w:r>
            <w:r w:rsidRPr="00EF7D30">
              <w:rPr>
                <w:i/>
                <w:sz w:val="22"/>
              </w:rPr>
              <w:t>(ad hoc</w:t>
            </w:r>
            <w:r w:rsidRPr="00EF7D30">
              <w:rPr>
                <w:sz w:val="22"/>
              </w:rPr>
              <w:t xml:space="preserve"> mednarodna kazenska sodišča, zlasti za Jugoslavijo, </w:t>
            </w:r>
            <w:r w:rsidR="00CB2E9A" w:rsidRPr="00EF7D30">
              <w:rPr>
                <w:sz w:val="22"/>
              </w:rPr>
              <w:t>M</w:t>
            </w:r>
            <w:r w:rsidRPr="00EF7D30">
              <w:rPr>
                <w:sz w:val="22"/>
              </w:rPr>
              <w:t>ednarodno kazensko sodišče, hibridna sodišča)</w:t>
            </w:r>
          </w:p>
          <w:p w14:paraId="36EC1431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 xml:space="preserve">4. Postopkovnopravni del </w:t>
            </w:r>
            <w:r w:rsidR="00547FD6" w:rsidRPr="00EF7D30">
              <w:rPr>
                <w:sz w:val="22"/>
              </w:rPr>
              <w:t>(p</w:t>
            </w:r>
            <w:r w:rsidRPr="00EF7D30">
              <w:rPr>
                <w:sz w:val="22"/>
              </w:rPr>
              <w:t>ostop</w:t>
            </w:r>
            <w:r w:rsidR="00CB2E9A" w:rsidRPr="00EF7D30">
              <w:rPr>
                <w:sz w:val="22"/>
              </w:rPr>
              <w:t>i</w:t>
            </w:r>
            <w:r w:rsidRPr="00EF7D30">
              <w:rPr>
                <w:sz w:val="22"/>
              </w:rPr>
              <w:t>k pred mednarodnimi sodišči, mednarodna kazenskopravna pomoč)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F7E09" w14:textId="77777777" w:rsidR="0032780F" w:rsidRPr="00EF7D30" w:rsidRDefault="0032780F" w:rsidP="0032780F">
            <w:pPr>
              <w:rPr>
                <w:sz w:val="22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7C4" w14:textId="77777777" w:rsidR="0032780F" w:rsidRPr="00671B20" w:rsidRDefault="0003304D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1. </w:t>
            </w:r>
            <w:r w:rsidR="004E1CDA" w:rsidRPr="00671B20">
              <w:rPr>
                <w:rFonts w:cs="Calibri"/>
                <w:sz w:val="22"/>
                <w:szCs w:val="22"/>
                <w:lang w:val="en-GB"/>
              </w:rPr>
              <w:t>General</w:t>
            </w:r>
            <w:r w:rsidR="00702197" w:rsidRPr="00671B20">
              <w:rPr>
                <w:rFonts w:cs="Calibri"/>
                <w:sz w:val="22"/>
                <w:szCs w:val="22"/>
                <w:lang w:val="en-GB"/>
              </w:rPr>
              <w:t xml:space="preserve">ly </w:t>
            </w:r>
            <w:r w:rsidR="004E1CDA" w:rsidRPr="00671B20">
              <w:rPr>
                <w:rFonts w:cs="Calibri"/>
                <w:sz w:val="22"/>
                <w:szCs w:val="22"/>
                <w:lang w:val="en-GB"/>
              </w:rPr>
              <w:t xml:space="preserve">on the nature of </w:t>
            </w:r>
            <w:r w:rsidR="00671B20">
              <w:rPr>
                <w:rFonts w:cs="Calibri"/>
                <w:sz w:val="22"/>
                <w:szCs w:val="22"/>
                <w:lang w:val="en-GB"/>
              </w:rPr>
              <w:t xml:space="preserve">the </w:t>
            </w:r>
            <w:r w:rsidR="004E1CDA" w:rsidRPr="00671B20">
              <w:rPr>
                <w:rFonts w:cs="Calibri"/>
                <w:sz w:val="22"/>
                <w:szCs w:val="22"/>
                <w:lang w:val="en-GB"/>
              </w:rPr>
              <w:t>international criminal law</w:t>
            </w:r>
          </w:p>
          <w:p w14:paraId="7BBC5264" w14:textId="77777777" w:rsidR="004E1CDA" w:rsidRPr="00671B20" w:rsidRDefault="004E1CDA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2. </w:t>
            </w:r>
            <w:r w:rsidR="00547FD6" w:rsidRPr="00671B20">
              <w:rPr>
                <w:rFonts w:cs="Calibri"/>
                <w:sz w:val="22"/>
                <w:szCs w:val="22"/>
                <w:lang w:val="en-GB"/>
              </w:rPr>
              <w:t>Substantive part</w:t>
            </w:r>
          </w:p>
          <w:p w14:paraId="02B1BE84" w14:textId="77777777" w:rsidR="00547FD6" w:rsidRPr="00671B20" w:rsidRDefault="00547FD6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2.1. General part of </w:t>
            </w:r>
            <w:r w:rsidR="00702197" w:rsidRPr="00671B20">
              <w:rPr>
                <w:rFonts w:cs="Calibri"/>
                <w:sz w:val="22"/>
                <w:szCs w:val="22"/>
                <w:lang w:val="en-GB"/>
              </w:rPr>
              <w:t xml:space="preserve">the 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international criminal law</w:t>
            </w:r>
          </w:p>
          <w:p w14:paraId="77E68EEA" w14:textId="77777777" w:rsidR="00547FD6" w:rsidRPr="00671B20" w:rsidRDefault="00547FD6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2.2. Specific part of </w:t>
            </w:r>
            <w:r w:rsidR="00702197" w:rsidRPr="00671B20">
              <w:rPr>
                <w:rFonts w:cs="Calibri"/>
                <w:sz w:val="22"/>
                <w:szCs w:val="22"/>
                <w:lang w:val="en-GB"/>
              </w:rPr>
              <w:t xml:space="preserve">the 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international criminal law (genocide, ag</w:t>
            </w:r>
            <w:r w:rsidR="00671B20">
              <w:rPr>
                <w:rFonts w:cs="Calibri"/>
                <w:sz w:val="22"/>
                <w:szCs w:val="22"/>
                <w:lang w:val="en-GB"/>
              </w:rPr>
              <w:t>g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ression, war crimes, crimes against humanity, torture, slavery and similar discrimination, terrorism, commercial criminal law)</w:t>
            </w:r>
          </w:p>
          <w:p w14:paraId="6305935B" w14:textId="77777777" w:rsidR="00547FD6" w:rsidRPr="00671B20" w:rsidRDefault="00547FD6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3. International criminal court</w:t>
            </w:r>
            <w:r w:rsidR="00702197" w:rsidRPr="00671B20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 xml:space="preserve">and tribunals 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(</w:t>
            </w:r>
            <w:r w:rsidRPr="004A78A8">
              <w:rPr>
                <w:rFonts w:cs="Calibri"/>
                <w:i/>
                <w:sz w:val="22"/>
                <w:szCs w:val="22"/>
                <w:lang w:val="en-GB"/>
              </w:rPr>
              <w:t>ad hoc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international criminal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 xml:space="preserve"> tribunals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with the</w:t>
            </w:r>
            <w:r w:rsidR="00702197" w:rsidRPr="00671B20">
              <w:rPr>
                <w:rFonts w:cs="Calibri"/>
                <w:sz w:val="22"/>
                <w:szCs w:val="22"/>
                <w:lang w:val="en-GB"/>
              </w:rPr>
              <w:t xml:space="preserve"> special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lastRenderedPageBreak/>
              <w:t xml:space="preserve">emphasis on the International Criminal Tribunal for the Former </w:t>
            </w:r>
            <w:r w:rsidR="00671B20" w:rsidRPr="00671B20">
              <w:rPr>
                <w:rFonts w:cs="Calibri"/>
                <w:sz w:val="22"/>
                <w:szCs w:val="22"/>
                <w:lang w:val="en-GB"/>
              </w:rPr>
              <w:t>Yugoslavia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, </w:t>
            </w:r>
            <w:r w:rsidR="00671B20">
              <w:rPr>
                <w:rFonts w:cs="Calibri"/>
                <w:sz w:val="22"/>
                <w:szCs w:val="22"/>
                <w:lang w:val="en-GB"/>
              </w:rPr>
              <w:t>International Criminal Court, hy</w:t>
            </w:r>
            <w:r w:rsidR="00671B20" w:rsidRPr="00671B20">
              <w:rPr>
                <w:rFonts w:cs="Calibri"/>
                <w:sz w:val="22"/>
                <w:szCs w:val="22"/>
                <w:lang w:val="en-GB"/>
              </w:rPr>
              <w:t>brid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courts) </w:t>
            </w:r>
          </w:p>
          <w:p w14:paraId="67F2EDA3" w14:textId="77777777" w:rsidR="00547FD6" w:rsidRPr="00671B20" w:rsidRDefault="00547FD6" w:rsidP="00CB2E9A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4. 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>International c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riminal procedur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>al law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(procedure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before international courts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 xml:space="preserve"> and tribunals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, 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 xml:space="preserve">mutual </w:t>
            </w:r>
            <w:r w:rsidR="00AC0CAF">
              <w:rPr>
                <w:rFonts w:cs="Calibri"/>
                <w:sz w:val="22"/>
                <w:szCs w:val="22"/>
                <w:lang w:val="en-GB"/>
              </w:rPr>
              <w:t xml:space="preserve"> l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>egal</w:t>
            </w:r>
            <w:r w:rsidR="00AC0CAF">
              <w:rPr>
                <w:rFonts w:cs="Calibri"/>
                <w:sz w:val="22"/>
                <w:szCs w:val="22"/>
                <w:lang w:val="en-GB"/>
              </w:rPr>
              <w:t xml:space="preserve"> assistance</w:t>
            </w:r>
            <w:r w:rsidR="00CB2E9A">
              <w:rPr>
                <w:rFonts w:cs="Calibri"/>
                <w:sz w:val="22"/>
                <w:szCs w:val="22"/>
                <w:lang w:val="en-GB"/>
              </w:rPr>
              <w:t xml:space="preserve"> in criminal matters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). </w:t>
            </w:r>
          </w:p>
        </w:tc>
      </w:tr>
    </w:tbl>
    <w:p w14:paraId="4C26103F" w14:textId="77777777" w:rsidR="0032780F" w:rsidRPr="00671B20" w:rsidRDefault="0032780F" w:rsidP="0032780F">
      <w:pPr>
        <w:rPr>
          <w:rFonts w:cs="Calibri"/>
          <w:sz w:val="22"/>
          <w:szCs w:val="22"/>
          <w:lang w:val="en-GB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32780F" w:rsidRPr="00671B20" w14:paraId="14C22550" w14:textId="77777777" w:rsidTr="00EF7D30">
        <w:tc>
          <w:tcPr>
            <w:tcW w:w="9690" w:type="dxa"/>
            <w:gridSpan w:val="6"/>
          </w:tcPr>
          <w:p w14:paraId="6B4A1986" w14:textId="77777777" w:rsidR="0032780F" w:rsidRPr="00671B20" w:rsidRDefault="0032780F" w:rsidP="00EA6525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br w:type="page"/>
            </w:r>
            <w:r w:rsidR="00EA6525">
              <w:rPr>
                <w:rFonts w:cs="Calibri"/>
                <w:sz w:val="22"/>
                <w:szCs w:val="22"/>
                <w:lang w:val="en-GB"/>
              </w:rPr>
              <w:t>L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iteratura in viri / Readings:</w:t>
            </w:r>
          </w:p>
        </w:tc>
      </w:tr>
      <w:tr w:rsidR="0032780F" w:rsidRPr="00671B20" w14:paraId="39D7370B" w14:textId="77777777" w:rsidTr="001D6F0C">
        <w:trPr>
          <w:trHeight w:val="2074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CCF" w14:textId="6F82A88B" w:rsidR="00EA6525" w:rsidRPr="00EF7D30" w:rsidRDefault="00EA6525" w:rsidP="0032780F">
            <w:bookmarkStart w:id="5" w:name="Ucbeniki"/>
            <w:bookmarkEnd w:id="5"/>
            <w:r w:rsidRPr="00EF7D30">
              <w:t>Temeljna literatura / Core readings</w:t>
            </w:r>
            <w:r w:rsidR="00231664">
              <w:t>:</w:t>
            </w:r>
          </w:p>
          <w:p w14:paraId="5E0FCDBB" w14:textId="77777777" w:rsidR="00EA6525" w:rsidRPr="00EF7D30" w:rsidRDefault="00EA6525" w:rsidP="0032780F"/>
          <w:p w14:paraId="1F545494" w14:textId="77777777" w:rsidR="00991088" w:rsidRPr="00EF7D30" w:rsidRDefault="00EA6525" w:rsidP="0032780F">
            <w:r w:rsidRPr="00EF7D30">
              <w:t>AMBROŽ, M.</w:t>
            </w:r>
            <w:r w:rsidR="00193CAD" w:rsidRPr="00EF7D30">
              <w:t>,</w:t>
            </w:r>
            <w:r w:rsidRPr="00EF7D30">
              <w:t xml:space="preserve"> BAVCON, L.</w:t>
            </w:r>
            <w:r w:rsidR="00193CAD" w:rsidRPr="00EF7D30">
              <w:t>,</w:t>
            </w:r>
            <w:r w:rsidRPr="00EF7D30">
              <w:t xml:space="preserve"> FIŠER, Z.</w:t>
            </w:r>
            <w:r w:rsidR="00193CAD" w:rsidRPr="00EF7D30">
              <w:t>,</w:t>
            </w:r>
            <w:r w:rsidRPr="00EF7D30">
              <w:t xml:space="preserve"> KOROŠEC, D.</w:t>
            </w:r>
            <w:r w:rsidR="00193CAD" w:rsidRPr="00EF7D30">
              <w:t xml:space="preserve">, </w:t>
            </w:r>
            <w:r w:rsidRPr="00EF7D30">
              <w:t>SANCIN, V.</w:t>
            </w:r>
            <w:r w:rsidR="00193CAD" w:rsidRPr="00EF7D30">
              <w:t>,</w:t>
            </w:r>
            <w:r w:rsidRPr="00EF7D30">
              <w:t xml:space="preserve"> SELINŠEK, L.</w:t>
            </w:r>
            <w:r w:rsidR="00193CAD" w:rsidRPr="00EF7D30">
              <w:t>,</w:t>
            </w:r>
            <w:r w:rsidRPr="00EF7D30">
              <w:t xml:space="preserve"> ŠKRK, M. (BAVCON, L.</w:t>
            </w:r>
            <w:r w:rsidR="0033052A" w:rsidRPr="00EF7D30">
              <w:t>;</w:t>
            </w:r>
            <w:r w:rsidRPr="00EF7D30">
              <w:t xml:space="preserve"> ŠKRK, M.,</w:t>
            </w:r>
            <w:r w:rsidR="00991088" w:rsidRPr="00EF7D30">
              <w:t xml:space="preserve"> </w:t>
            </w:r>
            <w:r w:rsidR="00193CAD" w:rsidRPr="00EF7D30">
              <w:t>ur.</w:t>
            </w:r>
            <w:r w:rsidR="00991088" w:rsidRPr="00EF7D30">
              <w:t>), Mednarodno kazensko pravo, Uradni list</w:t>
            </w:r>
            <w:r w:rsidRPr="00EF7D30">
              <w:t xml:space="preserve"> Republike Slovenije</w:t>
            </w:r>
            <w:r w:rsidR="00991088" w:rsidRPr="00EF7D30">
              <w:t xml:space="preserve">, Ljubljana 2012. </w:t>
            </w:r>
          </w:p>
          <w:p w14:paraId="013D7CD9" w14:textId="77777777" w:rsidR="0032780F" w:rsidRPr="00EF7D30" w:rsidRDefault="00EA6525" w:rsidP="0032780F">
            <w:r w:rsidRPr="00EF7D30">
              <w:t>KOROŠEC D.</w:t>
            </w:r>
            <w:r w:rsidR="0033052A" w:rsidRPr="00EF7D30">
              <w:t>;</w:t>
            </w:r>
            <w:r w:rsidRPr="00EF7D30">
              <w:t xml:space="preserve"> BAVCON, L.:</w:t>
            </w:r>
            <w:r w:rsidR="0032780F" w:rsidRPr="00EF7D30">
              <w:t xml:space="preserve"> Mednarodno kazensko pravo – posebni del (razen vojnih hudodelstev in hudodelstev zoper človečnost), dejavnosti Sveta Evrope, dejavnosti Evropske unije</w:t>
            </w:r>
            <w:r w:rsidRPr="00EF7D30">
              <w:t>;</w:t>
            </w:r>
            <w:r w:rsidR="0032780F" w:rsidRPr="00EF7D30">
              <w:t xml:space="preserve"> Pravna fakulteta, </w:t>
            </w:r>
            <w:r w:rsidRPr="00EF7D30">
              <w:t xml:space="preserve">Ljubljana </w:t>
            </w:r>
            <w:r w:rsidR="0032780F" w:rsidRPr="00EF7D30">
              <w:t>2003</w:t>
            </w:r>
            <w:r w:rsidRPr="00EF7D30">
              <w:t>.</w:t>
            </w:r>
          </w:p>
          <w:p w14:paraId="2EEB4476" w14:textId="77777777" w:rsidR="00EA6525" w:rsidRDefault="00EA6525" w:rsidP="0032780F">
            <w:pPr>
              <w:rPr>
                <w:lang w:val="en-GB"/>
              </w:rPr>
            </w:pPr>
            <w:r w:rsidRPr="00EF7D30">
              <w:t xml:space="preserve">ZAGORAC, </w:t>
            </w:r>
            <w:r w:rsidR="0032780F" w:rsidRPr="00EF7D30">
              <w:t>D. (ur.)</w:t>
            </w:r>
            <w:r w:rsidRPr="00EF7D30">
              <w:t>:</w:t>
            </w:r>
            <w:r w:rsidR="0032780F" w:rsidRPr="00EF7D30">
              <w:t xml:space="preserve"> Rimski statut Mednarodnega kazenskega sodišča in drugi dokumenti z uvodnimi pojasnili</w:t>
            </w:r>
            <w:r w:rsidRPr="00EF7D30">
              <w:t xml:space="preserve">, </w:t>
            </w:r>
            <w:r w:rsidR="0032780F" w:rsidRPr="00EF7D30">
              <w:t xml:space="preserve"> </w:t>
            </w:r>
            <w:r w:rsidR="00DA3BCD" w:rsidRPr="00EF7D30">
              <w:t>2.,</w:t>
            </w:r>
            <w:r w:rsidR="0032780F" w:rsidRPr="00EF7D30">
              <w:t xml:space="preserve"> spremenjena in dopolnjena izdaja, </w:t>
            </w:r>
            <w:r w:rsidRPr="00EF7D30">
              <w:t xml:space="preserve">1. </w:t>
            </w:r>
            <w:r>
              <w:rPr>
                <w:lang w:val="en-GB"/>
              </w:rPr>
              <w:t>Z</w:t>
            </w:r>
            <w:r w:rsidR="0032780F" w:rsidRPr="00671B20">
              <w:rPr>
                <w:lang w:val="en-GB"/>
              </w:rPr>
              <w:t>vezek</w:t>
            </w:r>
            <w:r>
              <w:rPr>
                <w:lang w:val="en-GB"/>
              </w:rPr>
              <w:t>,</w:t>
            </w:r>
            <w:r w:rsidR="0032780F" w:rsidRPr="00671B20">
              <w:rPr>
                <w:lang w:val="en-GB"/>
              </w:rPr>
              <w:t xml:space="preserve"> Amnesty International Slovenije, </w:t>
            </w:r>
            <w:r>
              <w:rPr>
                <w:lang w:val="en-GB"/>
              </w:rPr>
              <w:t xml:space="preserve">Ljubljana </w:t>
            </w:r>
            <w:r w:rsidR="0032780F" w:rsidRPr="00671B20">
              <w:rPr>
                <w:lang w:val="en-GB"/>
              </w:rPr>
              <w:t>2003</w:t>
            </w:r>
            <w:r>
              <w:rPr>
                <w:lang w:val="en-GB"/>
              </w:rPr>
              <w:t>.</w:t>
            </w:r>
          </w:p>
          <w:p w14:paraId="12AE1C1E" w14:textId="77777777" w:rsidR="00EA6525" w:rsidRDefault="00EA6525" w:rsidP="0032780F">
            <w:pPr>
              <w:rPr>
                <w:lang w:val="en-GB"/>
              </w:rPr>
            </w:pPr>
          </w:p>
          <w:p w14:paraId="3C79612F" w14:textId="2277F870" w:rsidR="00EA6525" w:rsidRDefault="00EA6525" w:rsidP="0032780F">
            <w:pPr>
              <w:rPr>
                <w:lang w:val="en-GB"/>
              </w:rPr>
            </w:pPr>
            <w:r>
              <w:rPr>
                <w:lang w:val="en-GB"/>
              </w:rPr>
              <w:t>Priporočena literatura / Recommended readings</w:t>
            </w:r>
            <w:r w:rsidR="00231664">
              <w:rPr>
                <w:lang w:val="en-GB"/>
              </w:rPr>
              <w:t>:</w:t>
            </w:r>
          </w:p>
          <w:p w14:paraId="179225B3" w14:textId="77777777" w:rsidR="00EA6525" w:rsidRDefault="00EA6525" w:rsidP="0032780F">
            <w:pPr>
              <w:rPr>
                <w:lang w:val="en-GB"/>
              </w:rPr>
            </w:pPr>
          </w:p>
          <w:p w14:paraId="5CBD091C" w14:textId="77777777" w:rsidR="00587025" w:rsidRPr="00FA67BE" w:rsidRDefault="00EA6525" w:rsidP="0032780F">
            <w:pPr>
              <w:rPr>
                <w:rFonts w:cs="Calibri"/>
                <w:lang w:val="en-GB"/>
              </w:rPr>
            </w:pPr>
            <w:r>
              <w:rPr>
                <w:lang w:val="en-GB"/>
              </w:rPr>
              <w:t>CASSESE, A.</w:t>
            </w:r>
            <w:r w:rsidR="00193CAD">
              <w:rPr>
                <w:lang w:val="en-GB"/>
              </w:rPr>
              <w:t>, GAETA, P.</w:t>
            </w:r>
            <w:r>
              <w:rPr>
                <w:lang w:val="en-GB"/>
              </w:rPr>
              <w:t xml:space="preserve">: </w:t>
            </w:r>
            <w:r w:rsidR="0032780F" w:rsidRPr="00FA67BE">
              <w:rPr>
                <w:rFonts w:cs="Calibri"/>
                <w:lang w:val="en-GB"/>
              </w:rPr>
              <w:t>Cassese</w:t>
            </w:r>
            <w:r w:rsidR="00FC7BF0" w:rsidRPr="00FA67BE">
              <w:rPr>
                <w:rFonts w:cs="Calibri"/>
                <w:lang w:val="en-GB"/>
              </w:rPr>
              <w:t>'s</w:t>
            </w:r>
            <w:r w:rsidR="0032780F" w:rsidRPr="00FA67BE">
              <w:rPr>
                <w:rFonts w:cs="Calibri"/>
                <w:lang w:val="en-GB"/>
              </w:rPr>
              <w:t xml:space="preserve"> International Criminal Law</w:t>
            </w:r>
            <w:r w:rsidRPr="00FA67BE">
              <w:rPr>
                <w:rFonts w:cs="Calibri"/>
                <w:lang w:val="en-GB"/>
              </w:rPr>
              <w:t>, 3rd Edition,</w:t>
            </w:r>
            <w:r w:rsidR="0032780F" w:rsidRPr="00FA67BE">
              <w:rPr>
                <w:rFonts w:cs="Calibri"/>
                <w:lang w:val="en-GB"/>
              </w:rPr>
              <w:t xml:space="preserve"> </w:t>
            </w:r>
            <w:r w:rsidR="0032780F" w:rsidRPr="00595F36">
              <w:rPr>
                <w:rFonts w:cs="Calibri"/>
                <w:lang w:val="en-GB"/>
              </w:rPr>
              <w:t xml:space="preserve">Oxford University Press, </w:t>
            </w:r>
            <w:r w:rsidRPr="00595F36">
              <w:rPr>
                <w:rFonts w:cs="Calibri"/>
                <w:lang w:val="en-GB"/>
              </w:rPr>
              <w:t xml:space="preserve">Oxford </w:t>
            </w:r>
            <w:r w:rsidR="0032780F" w:rsidRPr="00595F36">
              <w:rPr>
                <w:rFonts w:cs="Calibri"/>
                <w:lang w:val="en-GB"/>
              </w:rPr>
              <w:t>20</w:t>
            </w:r>
            <w:r w:rsidR="00FA67BE">
              <w:rPr>
                <w:rFonts w:cs="Calibri"/>
                <w:lang w:val="en-GB"/>
              </w:rPr>
              <w:t>13</w:t>
            </w:r>
            <w:r w:rsidR="00FC7BF0" w:rsidRPr="00FA67BE">
              <w:rPr>
                <w:rFonts w:cs="Calibri"/>
                <w:lang w:val="en-GB"/>
              </w:rPr>
              <w:t>.</w:t>
            </w:r>
          </w:p>
          <w:p w14:paraId="5B136324" w14:textId="77777777" w:rsidR="00193CAD" w:rsidRPr="00EF7D30" w:rsidRDefault="00193CAD" w:rsidP="0032780F">
            <w:r w:rsidRPr="00EF7D30">
              <w:t>CASSESE, A., ACQUAVIVA, G., AKANDE, D., BAIG, L.: The Oxford Companion to International Criminal Justice, Oxford University Press 2009.</w:t>
            </w:r>
          </w:p>
          <w:p w14:paraId="11CF5278" w14:textId="77777777" w:rsidR="00193CAD" w:rsidRPr="00EF7D30" w:rsidRDefault="00193CAD" w:rsidP="0032780F">
            <w:r w:rsidRPr="00EF7D30">
              <w:t>SANCIN, V. (ur.): Lokalni zločinci-univerzalni zločini: Odgovornost zaščititi, GV založba 2010.</w:t>
            </w:r>
          </w:p>
          <w:p w14:paraId="599B78C5" w14:textId="77777777" w:rsidR="00CA1317" w:rsidRPr="00EF7D30" w:rsidRDefault="00CA1317" w:rsidP="00595F36">
            <w:pPr>
              <w:jc w:val="both"/>
            </w:pPr>
            <w:r w:rsidRPr="00EF7D30">
              <w:t>SANCIN, V.: The role and impact of the OSCE Moscow mechanism reports following the Russian invasion of Ukraine. International and Comparative Law Review. 2023, vol. 23, št. 1, str. 210-227. ISSN 2464-6601. https://sciendo.com/article/10.2478/iclr-2023-0009</w:t>
            </w:r>
          </w:p>
          <w:p w14:paraId="3C74F9BB" w14:textId="77777777" w:rsidR="00193CAD" w:rsidRDefault="00193CAD" w:rsidP="0032780F">
            <w:pPr>
              <w:rPr>
                <w:lang w:val="en-GB"/>
              </w:rPr>
            </w:pPr>
          </w:p>
          <w:p w14:paraId="6E9D3E71" w14:textId="0288BDC2" w:rsidR="00EA6525" w:rsidRDefault="00193CAD" w:rsidP="0032780F">
            <w:pPr>
              <w:rPr>
                <w:lang w:val="en-GB"/>
              </w:rPr>
            </w:pPr>
            <w:r>
              <w:rPr>
                <w:lang w:val="en-GB"/>
              </w:rPr>
              <w:t>Z</w:t>
            </w:r>
            <w:r w:rsidR="00EA6525">
              <w:rPr>
                <w:lang w:val="en-GB"/>
              </w:rPr>
              <w:t xml:space="preserve">akonodaja / </w:t>
            </w:r>
            <w:r>
              <w:rPr>
                <w:lang w:val="en-GB"/>
              </w:rPr>
              <w:t>Legislation</w:t>
            </w:r>
            <w:r w:rsidR="00231664">
              <w:rPr>
                <w:lang w:val="en-GB"/>
              </w:rPr>
              <w:t>:</w:t>
            </w:r>
          </w:p>
          <w:p w14:paraId="21716825" w14:textId="77777777" w:rsidR="00EA6525" w:rsidRPr="00671B20" w:rsidRDefault="00EA6525" w:rsidP="0032780F">
            <w:pPr>
              <w:rPr>
                <w:lang w:val="en-GB"/>
              </w:rPr>
            </w:pPr>
          </w:p>
          <w:p w14:paraId="16B506EC" w14:textId="6B718B2E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  <w:r w:rsidRPr="00671B20">
              <w:rPr>
                <w:lang w:val="en-GB"/>
              </w:rPr>
              <w:t xml:space="preserve">Veljavna zakonodaja s področja, ki se objavi za vsako študijsko leto (dostopna na spletu: </w:t>
            </w:r>
            <w:hyperlink r:id="rId10" w:history="1">
              <w:r w:rsidR="00EA6525" w:rsidRPr="002E75D0">
                <w:rPr>
                  <w:rStyle w:val="Hiperpovezava"/>
                  <w:lang w:val="en-GB"/>
                </w:rPr>
                <w:t>www.dz-rs.si</w:t>
              </w:r>
            </w:hyperlink>
            <w:r w:rsidRPr="00671B20">
              <w:rPr>
                <w:lang w:val="en-GB"/>
              </w:rPr>
              <w:t>)</w:t>
            </w:r>
          </w:p>
        </w:tc>
      </w:tr>
      <w:tr w:rsidR="0032780F" w:rsidRPr="00671B20" w14:paraId="1AB2AD94" w14:textId="77777777" w:rsidTr="00EF7D30">
        <w:trPr>
          <w:trHeight w:val="73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77A64" w14:textId="77777777" w:rsidR="0032780F" w:rsidRPr="00671B20" w:rsidRDefault="0032780F" w:rsidP="0032780F">
            <w:pPr>
              <w:rPr>
                <w:rFonts w:cs="Calibri"/>
                <w:bCs/>
                <w:sz w:val="22"/>
                <w:szCs w:val="22"/>
                <w:lang w:val="en-GB"/>
              </w:rPr>
            </w:pPr>
          </w:p>
          <w:p w14:paraId="6CCEF630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5AC7818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1F0A4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5539851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Objectives and competences:</w:t>
            </w:r>
          </w:p>
        </w:tc>
      </w:tr>
      <w:tr w:rsidR="0032780F" w:rsidRPr="00671B20" w14:paraId="19996580" w14:textId="77777777" w:rsidTr="00EF7D30">
        <w:trPr>
          <w:trHeight w:val="183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66B" w14:textId="77777777" w:rsidR="0032780F" w:rsidRPr="00EF7D30" w:rsidRDefault="005E624A" w:rsidP="005E624A">
            <w:pPr>
              <w:rPr>
                <w:sz w:val="22"/>
              </w:rPr>
            </w:pPr>
            <w:r w:rsidRPr="00EF7D30">
              <w:rPr>
                <w:sz w:val="22"/>
              </w:rPr>
              <w:t xml:space="preserve">Cilj predmeta je, da slušatelj pridobi poglobljeno znanje na področju mednarodnega kazenskega prava. Za nadgradnjo teoretičnega znanja slušatelji preko analize </w:t>
            </w:r>
            <w:r w:rsidR="00395511" w:rsidRPr="00EF7D30">
              <w:rPr>
                <w:sz w:val="22"/>
              </w:rPr>
              <w:t xml:space="preserve">posameznih določb statutov mednarodnih kazenskih sodišč in </w:t>
            </w:r>
            <w:r w:rsidRPr="00EF7D30">
              <w:rPr>
                <w:sz w:val="22"/>
              </w:rPr>
              <w:t xml:space="preserve">konkretnih primerov uporabe pravil v praksi ter judikature, predvsem Mednarodnega kazenskega sodišča in </w:t>
            </w:r>
            <w:r w:rsidRPr="00EF7D30">
              <w:rPr>
                <w:i/>
                <w:sz w:val="22"/>
              </w:rPr>
              <w:t>ad hoc</w:t>
            </w:r>
            <w:r w:rsidRPr="00EF7D30">
              <w:rPr>
                <w:sz w:val="22"/>
              </w:rPr>
              <w:t xml:space="preserve"> mednarodnih kazenskih sodišč za nekdanjo </w:t>
            </w:r>
            <w:r w:rsidRPr="00EF7D30">
              <w:rPr>
                <w:sz w:val="22"/>
              </w:rPr>
              <w:lastRenderedPageBreak/>
              <w:t>Jugoslavijo in Ruando, pridobijo vpogled v reševanje kompleksnih in zahtevnih vprašanj.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814CB" w14:textId="77777777" w:rsidR="0032780F" w:rsidRPr="00EF7D30" w:rsidRDefault="0032780F" w:rsidP="0032780F">
            <w:pPr>
              <w:rPr>
                <w:sz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521" w14:textId="77777777" w:rsidR="005E624A" w:rsidRPr="00671B20" w:rsidRDefault="005E624A" w:rsidP="005E624A">
            <w:pPr>
              <w:rPr>
                <w:rFonts w:cs="Arial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The objective of the course is to provide the student with a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>n in-depth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understanding of</w:t>
            </w:r>
            <w:r w:rsidR="00CF1BB0" w:rsidRPr="00671B20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671B20">
              <w:rPr>
                <w:rFonts w:cs="Arial"/>
                <w:sz w:val="22"/>
                <w:szCs w:val="22"/>
                <w:lang w:val="en-GB"/>
              </w:rPr>
              <w:t>international criminal law. Through analysis of concrete legal provisions</w:t>
            </w:r>
            <w:r w:rsidR="00395511">
              <w:rPr>
                <w:rFonts w:cs="Arial"/>
                <w:sz w:val="22"/>
                <w:szCs w:val="22"/>
                <w:lang w:val="en-GB"/>
              </w:rPr>
              <w:t xml:space="preserve"> of statutes of international criminal courts</w:t>
            </w:r>
            <w:r w:rsidRPr="00671B20">
              <w:rPr>
                <w:rFonts w:cs="Arial"/>
                <w:sz w:val="22"/>
                <w:szCs w:val="22"/>
                <w:lang w:val="en-GB"/>
              </w:rPr>
              <w:t xml:space="preserve"> and relevant case law, especially of the International Criminal Court and </w:t>
            </w:r>
            <w:r w:rsidRPr="004A78A8">
              <w:rPr>
                <w:rFonts w:cs="Arial"/>
                <w:i/>
                <w:sz w:val="22"/>
                <w:szCs w:val="22"/>
                <w:lang w:val="en-GB"/>
              </w:rPr>
              <w:t>ad hoc</w:t>
            </w:r>
            <w:r w:rsidRPr="00671B20">
              <w:rPr>
                <w:rFonts w:cs="Arial"/>
                <w:sz w:val="22"/>
                <w:szCs w:val="22"/>
                <w:lang w:val="en-GB"/>
              </w:rPr>
              <w:t xml:space="preserve"> international criminal </w:t>
            </w:r>
            <w:r w:rsidR="0087158E">
              <w:rPr>
                <w:rFonts w:cs="Arial"/>
                <w:sz w:val="22"/>
                <w:szCs w:val="22"/>
                <w:lang w:val="en-GB"/>
              </w:rPr>
              <w:t>tribunals</w:t>
            </w:r>
            <w:r w:rsidRPr="00671B20">
              <w:rPr>
                <w:rFonts w:cs="Arial"/>
                <w:sz w:val="22"/>
                <w:szCs w:val="22"/>
                <w:lang w:val="en-GB"/>
              </w:rPr>
              <w:t xml:space="preserve"> for the former Yugoslavia and Ruanda, students broaden their theoretical knowledge and get an insight into </w:t>
            </w:r>
            <w:r w:rsidRPr="00671B20">
              <w:rPr>
                <w:rFonts w:cs="Arial"/>
                <w:sz w:val="22"/>
                <w:szCs w:val="22"/>
                <w:lang w:val="en-GB"/>
              </w:rPr>
              <w:lastRenderedPageBreak/>
              <w:t>solving complex and difficult international criminal law issues.</w:t>
            </w:r>
          </w:p>
          <w:p w14:paraId="53345478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79798521" w14:textId="77777777" w:rsidTr="00EF7D30">
        <w:trPr>
          <w:trHeight w:val="117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7942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655C506C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Predvideni študijski rezultati:</w:t>
            </w:r>
          </w:p>
        </w:tc>
        <w:tc>
          <w:tcPr>
            <w:tcW w:w="142" w:type="dxa"/>
          </w:tcPr>
          <w:p w14:paraId="2186236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32096DBA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358B4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172ECCF5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Intended learning outcomes:</w:t>
            </w:r>
          </w:p>
        </w:tc>
      </w:tr>
      <w:tr w:rsidR="0032780F" w:rsidRPr="00671B20" w14:paraId="316997DE" w14:textId="77777777" w:rsidTr="00EF7D30">
        <w:trPr>
          <w:trHeight w:val="1387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530AF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>Po opravljenih obveznostih bo študent sposoben izkazati razumevanje kazenskopravnih dobrin s področja, prepoznavati in pravno vrednotiti biti inkriminacij, protipravnost in krivdo za mednarodno kaznivo dejanje.</w:t>
            </w:r>
          </w:p>
          <w:p w14:paraId="6A59806A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>Pridobljeno znanje je mogoče neposredno uporabiti pri reševanju mednarodnih kazenskih zadev in pri zakonodajnem oblikovanju novih institutov splošnega in posebnega dela kazenskega prava, posebej prilagojenim mednarodno-kazenskopravnim zadevam, vključno s prenosom in integracijo mednarodnih pravnih dokumentov v slovensko kazensko zakonodajo.</w:t>
            </w:r>
          </w:p>
          <w:p w14:paraId="06A0505B" w14:textId="77777777" w:rsidR="0032780F" w:rsidRPr="00EF7D30" w:rsidRDefault="0032780F" w:rsidP="0032780F">
            <w:pPr>
              <w:rPr>
                <w:sz w:val="22"/>
              </w:rPr>
            </w:pPr>
            <w:r w:rsidRPr="00EF7D30">
              <w:rPr>
                <w:sz w:val="22"/>
              </w:rPr>
              <w:t>Študenti razvijajo sposobnosti argumentirane kritične presoje pravne ureditve mednarodnega kazenskega prava in delovanja mednarodnih institucij ter vrednotenja morebitnega razkoraka med predpisanimi rešitvami in njihovim izvajanjem.</w:t>
            </w:r>
          </w:p>
          <w:p w14:paraId="4F377179" w14:textId="77777777" w:rsidR="0032780F" w:rsidRPr="00EF7D30" w:rsidRDefault="0032780F" w:rsidP="005E624A">
            <w:pPr>
              <w:rPr>
                <w:sz w:val="22"/>
              </w:rPr>
            </w:pPr>
            <w:r w:rsidRPr="00EF7D30">
              <w:rPr>
                <w:sz w:val="22"/>
              </w:rPr>
              <w:t>Študenti povezujejo pridobljen</w:t>
            </w:r>
            <w:r w:rsidR="009F4CE5" w:rsidRPr="00EF7D30">
              <w:rPr>
                <w:sz w:val="22"/>
              </w:rPr>
              <w:t>o</w:t>
            </w:r>
            <w:r w:rsidRPr="00EF7D30">
              <w:rPr>
                <w:sz w:val="22"/>
              </w:rPr>
              <w:t xml:space="preserve"> znanje z drugimi predmeti s področja kaznovalnega prava, predvsem z materialnim kazenskim pravom</w:t>
            </w:r>
            <w:r w:rsidR="005E624A" w:rsidRPr="00EF7D30">
              <w:rPr>
                <w:sz w:val="22"/>
              </w:rPr>
              <w:t xml:space="preserve">, ter z </w:t>
            </w:r>
            <w:r w:rsidR="009F4CE5" w:rsidRPr="00EF7D30">
              <w:rPr>
                <w:sz w:val="22"/>
              </w:rPr>
              <w:t xml:space="preserve">mednarodnim javnim pravim in </w:t>
            </w:r>
            <w:r w:rsidR="005E624A" w:rsidRPr="00EF7D30">
              <w:rPr>
                <w:sz w:val="22"/>
              </w:rPr>
              <w:t>mednarodnim pravom oboroženih spopadov.</w:t>
            </w:r>
            <w:r w:rsidR="005E624A" w:rsidRPr="00EF7D30"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91490" w14:textId="77777777" w:rsidR="0032780F" w:rsidRPr="00EF7D30" w:rsidRDefault="0032780F" w:rsidP="0032780F">
            <w:pPr>
              <w:rPr>
                <w:sz w:val="22"/>
              </w:rPr>
            </w:pPr>
          </w:p>
          <w:p w14:paraId="0066977B" w14:textId="77777777" w:rsidR="0032780F" w:rsidRPr="00EF7D30" w:rsidRDefault="0032780F" w:rsidP="0032780F">
            <w:pPr>
              <w:rPr>
                <w:sz w:val="22"/>
              </w:rPr>
            </w:pPr>
          </w:p>
          <w:p w14:paraId="7ACE01E0" w14:textId="77777777" w:rsidR="0032780F" w:rsidRPr="00EF7D30" w:rsidRDefault="0032780F" w:rsidP="0032780F">
            <w:pPr>
              <w:rPr>
                <w:sz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AF76B" w14:textId="77777777" w:rsidR="001408F6" w:rsidRPr="00671B20" w:rsidRDefault="001408F6" w:rsidP="001408F6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After completing their obligations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>,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students will be able to show an understanding of international criminal law issues, recognise and legally evaluate criminalisation of offence</w:t>
            </w:r>
            <w:r w:rsidR="00137574">
              <w:rPr>
                <w:rFonts w:cs="Calibri"/>
                <w:sz w:val="22"/>
                <w:szCs w:val="22"/>
                <w:lang w:val="en-GB"/>
              </w:rPr>
              <w:t>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, unlawfulness and guilt in international criminal law.</w:t>
            </w:r>
          </w:p>
          <w:p w14:paraId="2762B4A4" w14:textId="77777777" w:rsidR="001408F6" w:rsidRPr="00671B20" w:rsidRDefault="001408F6" w:rsidP="001408F6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The knowledge obtained can be used directly while solving international criminal </w:t>
            </w:r>
            <w:r w:rsidR="00CF1BB0" w:rsidRPr="00671B20">
              <w:rPr>
                <w:rFonts w:cs="Calibri"/>
                <w:sz w:val="22"/>
                <w:szCs w:val="22"/>
                <w:lang w:val="en-GB"/>
              </w:rPr>
              <w:t>cases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and </w:t>
            </w:r>
            <w:r w:rsidR="00137574">
              <w:rPr>
                <w:rFonts w:cs="Calibri"/>
                <w:sz w:val="22"/>
                <w:szCs w:val="22"/>
                <w:lang w:val="en-GB"/>
              </w:rPr>
              <w:t xml:space="preserve">in 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legislative </w:t>
            </w:r>
            <w:r w:rsidR="00CF1BB0" w:rsidRPr="00671B20">
              <w:rPr>
                <w:rFonts w:cs="Calibri"/>
                <w:sz w:val="22"/>
                <w:szCs w:val="22"/>
                <w:lang w:val="en-GB"/>
              </w:rPr>
              <w:t>processes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 forming new institutes of general and specific parts of criminal law, in </w:t>
            </w:r>
            <w:r w:rsidR="00CF1BB0" w:rsidRPr="00671B20">
              <w:rPr>
                <w:rFonts w:cs="Calibri"/>
                <w:sz w:val="22"/>
                <w:szCs w:val="22"/>
                <w:lang w:val="en-GB"/>
              </w:rPr>
              <w:t xml:space="preserve">specific 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international criminal law issues, including in incorporation and integration of international legal documents into </w:t>
            </w:r>
            <w:r w:rsidR="00137574">
              <w:rPr>
                <w:rFonts w:cs="Calibri"/>
                <w:sz w:val="22"/>
                <w:szCs w:val="22"/>
                <w:lang w:val="en-GB"/>
              </w:rPr>
              <w:t xml:space="preserve">the 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Slovene criminal legislation. </w:t>
            </w:r>
          </w:p>
          <w:p w14:paraId="10B8B938" w14:textId="77777777" w:rsidR="009F4CE5" w:rsidRPr="00671B20" w:rsidRDefault="001408F6" w:rsidP="001408F6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Students will 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evolve their ability to critically evaluate legal regulation of </w:t>
            </w:r>
            <w:r w:rsidR="00524FCD">
              <w:rPr>
                <w:rFonts w:cs="Calibri"/>
                <w:sz w:val="22"/>
                <w:szCs w:val="22"/>
                <w:lang w:val="en-GB"/>
              </w:rPr>
              <w:t>i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 xml:space="preserve">nternational criminal law and the work of international institutions and </w:t>
            </w:r>
            <w:r w:rsidR="00137574">
              <w:rPr>
                <w:rFonts w:cs="Calibri"/>
                <w:sz w:val="22"/>
                <w:szCs w:val="22"/>
                <w:lang w:val="en-GB"/>
              </w:rPr>
              <w:t xml:space="preserve">analyse </w:t>
            </w:r>
            <w:r w:rsidR="009F4CE5" w:rsidRPr="00671B20">
              <w:rPr>
                <w:rFonts w:cs="Calibri"/>
                <w:sz w:val="22"/>
                <w:szCs w:val="22"/>
                <w:lang w:val="en-GB"/>
              </w:rPr>
              <w:t>possible discrepancies between the legal norms and their implementation in practice.</w:t>
            </w:r>
          </w:p>
          <w:p w14:paraId="19A65151" w14:textId="77777777" w:rsidR="009F4CE5" w:rsidRPr="00671B20" w:rsidRDefault="009F4CE5" w:rsidP="001408F6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Students link the acquired knowledge with other courses f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>ro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m the field of criminal law, especially substantive criminal law, as well as 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 xml:space="preserve">public 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international law and international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 xml:space="preserve"> law of armed conflicts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. </w:t>
            </w:r>
          </w:p>
          <w:p w14:paraId="1C8A5E34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034CB933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2766CC74" w14:textId="77777777" w:rsidTr="00EF7D30">
        <w:trPr>
          <w:trHeight w:val="1417"/>
        </w:trPr>
        <w:tc>
          <w:tcPr>
            <w:tcW w:w="47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FE4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10CF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A5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32780F" w:rsidRPr="00671B20" w14:paraId="59712657" w14:textId="77777777" w:rsidTr="00EF7D30"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E4E9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78DABA05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Metode poučevanja in učenja:</w:t>
            </w:r>
          </w:p>
        </w:tc>
        <w:tc>
          <w:tcPr>
            <w:tcW w:w="142" w:type="dxa"/>
          </w:tcPr>
          <w:p w14:paraId="7A1F3B9D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1B3EE229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6F69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2CDDF0F1" w14:textId="77777777" w:rsidR="0032780F" w:rsidRPr="00671B20" w:rsidRDefault="0032780F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Learning and teaching methods:</w:t>
            </w:r>
          </w:p>
        </w:tc>
      </w:tr>
      <w:tr w:rsidR="001D6F0C" w:rsidRPr="00671B20" w14:paraId="7767C3AB" w14:textId="77777777" w:rsidTr="001D6F0C">
        <w:trPr>
          <w:trHeight w:val="2023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ACF" w14:textId="77777777" w:rsidR="001D6F0C" w:rsidRPr="00EF7D30" w:rsidRDefault="001D6F0C" w:rsidP="004A78A8">
            <w:r w:rsidRPr="00EF7D30">
              <w:t>predavanja (posredovanje temeljnih teoretičnih znanj, analiza mednarodne sodne prakse, analiza konkretnih zakonskih</w:t>
            </w:r>
            <w:r w:rsidR="0087158E" w:rsidRPr="00EF7D30">
              <w:t xml:space="preserve"> in pogodbenih</w:t>
            </w:r>
            <w:r w:rsidRPr="00EF7D30">
              <w:t xml:space="preserve"> določ</w:t>
            </w:r>
            <w:r w:rsidR="0087158E" w:rsidRPr="00EF7D30">
              <w:t>il</w:t>
            </w:r>
            <w:r w:rsidRPr="00EF7D30">
              <w:t>);</w:t>
            </w:r>
          </w:p>
          <w:p w14:paraId="698383EB" w14:textId="77777777" w:rsidR="001D6F0C" w:rsidRPr="00EF7D30" w:rsidRDefault="001D6F0C" w:rsidP="0054750F">
            <w:r w:rsidRPr="00EF7D30">
              <w:t>vaje (analiza sodne in arbitražne prakse, reševanje hipotetičnih problemov, obravnava izdelkov samostojnega dela);</w:t>
            </w:r>
          </w:p>
          <w:p w14:paraId="4E42EC2C" w14:textId="77777777" w:rsidR="001D6F0C" w:rsidRPr="00EF7D30" w:rsidRDefault="001D6F0C" w:rsidP="004A78A8">
            <w:pPr>
              <w:rPr>
                <w:sz w:val="22"/>
              </w:rPr>
            </w:pPr>
            <w:r w:rsidRPr="00EF7D30">
              <w:t>druge oblike študija (individualne konzultacije).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B33F7" w14:textId="77777777" w:rsidR="001D6F0C" w:rsidRPr="00EF7D30" w:rsidRDefault="001D6F0C" w:rsidP="0032780F">
            <w:pPr>
              <w:rPr>
                <w:sz w:val="22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EB8" w14:textId="77777777" w:rsidR="001D6F0C" w:rsidRPr="00671B20" w:rsidRDefault="001D6F0C" w:rsidP="00524FCD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Lectures (basic theoretical knowledge, analysis of international case law, discussing </w:t>
            </w:r>
            <w:r w:rsidR="00137574" w:rsidRPr="00671B20">
              <w:rPr>
                <w:rFonts w:cs="Calibri"/>
                <w:sz w:val="22"/>
                <w:szCs w:val="22"/>
                <w:lang w:val="en-GB"/>
              </w:rPr>
              <w:t>concrete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 xml:space="preserve"> provisions of relevant laws and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 treat</w:t>
            </w:r>
            <w:r w:rsidR="0087158E">
              <w:rPr>
                <w:rFonts w:cs="Calibri"/>
                <w:sz w:val="22"/>
                <w:szCs w:val="22"/>
                <w:lang w:val="en-GB"/>
              </w:rPr>
              <w:t>ies</w:t>
            </w:r>
            <w:r w:rsidRPr="00671B20">
              <w:rPr>
                <w:rFonts w:cs="Calibri"/>
                <w:sz w:val="22"/>
                <w:szCs w:val="22"/>
                <w:lang w:val="en-GB"/>
              </w:rPr>
              <w:t>);</w:t>
            </w:r>
          </w:p>
          <w:p w14:paraId="24CB3994" w14:textId="77777777" w:rsidR="001D6F0C" w:rsidRDefault="001D6F0C" w:rsidP="00524FCD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Tutorials (analysis of judicial and arbitral practice, solving hypothetical problems, discussing individual work);</w:t>
            </w:r>
          </w:p>
          <w:p w14:paraId="1AA99938" w14:textId="77777777" w:rsidR="001D6F0C" w:rsidRPr="00671B20" w:rsidRDefault="00137574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Other forms</w:t>
            </w:r>
            <w:r w:rsidR="001D6F0C" w:rsidRPr="00671B20">
              <w:rPr>
                <w:rFonts w:cs="Calibri"/>
                <w:sz w:val="22"/>
                <w:szCs w:val="22"/>
                <w:lang w:val="en-GB"/>
              </w:rPr>
              <w:t xml:space="preserve"> of work (individual consultations).</w:t>
            </w:r>
          </w:p>
        </w:tc>
      </w:tr>
      <w:tr w:rsidR="001D6F0C" w:rsidRPr="00671B20" w14:paraId="64D97115" w14:textId="77777777" w:rsidTr="00EF7D30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A7E84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0D64707D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C196A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Delež (v %) /</w:t>
            </w:r>
          </w:p>
          <w:p w14:paraId="59A7E594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Weight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F3217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5CD14F3B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Assessment:</w:t>
            </w:r>
          </w:p>
        </w:tc>
      </w:tr>
      <w:tr w:rsidR="001D6F0C" w:rsidRPr="00671B20" w14:paraId="56D85199" w14:textId="77777777" w:rsidTr="00EF7D30">
        <w:trPr>
          <w:trHeight w:val="1104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CFE" w14:textId="77777777" w:rsidR="001D6F0C" w:rsidRPr="00EF7D30" w:rsidRDefault="001D6F0C" w:rsidP="0032780F">
            <w:r w:rsidRPr="00EF7D30">
              <w:rPr>
                <w:sz w:val="22"/>
              </w:rPr>
              <w:lastRenderedPageBreak/>
              <w:t xml:space="preserve"> </w:t>
            </w:r>
            <w:r w:rsidRPr="00EF7D30">
              <w:t xml:space="preserve">Končni pisni izpit  </w:t>
            </w:r>
          </w:p>
          <w:p w14:paraId="5ACEB123" w14:textId="77777777" w:rsidR="0087158E" w:rsidRPr="00EF7D30" w:rsidRDefault="0087158E" w:rsidP="0032780F">
            <w:r w:rsidRPr="00EF7D30">
              <w:t>Študenti imajo možnost, da eno petino (1/5) izpita opravijo z izdelavo in zagovorom seminarske naloge.</w:t>
            </w:r>
          </w:p>
          <w:p w14:paraId="466E73A4" w14:textId="77777777" w:rsidR="0087158E" w:rsidRPr="00EF7D30" w:rsidRDefault="001D6F0C" w:rsidP="0032780F">
            <w:pPr>
              <w:autoSpaceDE w:val="0"/>
              <w:autoSpaceDN w:val="0"/>
              <w:adjustRightInd w:val="0"/>
            </w:pPr>
            <w:r w:rsidRPr="00EF7D30">
              <w:t>Izpit se oceni z ocenjevalno lestvico od 1 - 10: od 6-10 (pozitivno) oziroma 1-5 (negativno); ob upoštevanju Statuta UL in pravil Pravne fakultete.</w:t>
            </w:r>
          </w:p>
          <w:p w14:paraId="165731F3" w14:textId="77777777" w:rsidR="001D6F0C" w:rsidRPr="00EF7D30" w:rsidRDefault="001D6F0C" w:rsidP="0032780F">
            <w:pPr>
              <w:rPr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3E2D0" w14:textId="77777777" w:rsidR="001D6F0C" w:rsidRPr="00671B20" w:rsidRDefault="00187E35" w:rsidP="0032780F">
            <w:pPr>
              <w:rPr>
                <w:rFonts w:cs="Calibri"/>
                <w:sz w:val="22"/>
                <w:szCs w:val="22"/>
                <w:lang w:val="en-GB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>100% PISNI / 100% WRITTEN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D7E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Type (examination, oral, coursework, project):</w:t>
            </w:r>
          </w:p>
          <w:p w14:paraId="322F8300" w14:textId="77777777" w:rsidR="001D6F0C" w:rsidRDefault="00137574" w:rsidP="0032780F">
            <w:pPr>
              <w:rPr>
                <w:rFonts w:cs="Calibri"/>
                <w:sz w:val="22"/>
                <w:szCs w:val="22"/>
                <w:lang w:val="en-GB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>Final written</w:t>
            </w:r>
            <w:r w:rsidR="001D6F0C" w:rsidRPr="00671B20">
              <w:rPr>
                <w:rFonts w:cs="Calibri"/>
                <w:sz w:val="22"/>
                <w:szCs w:val="22"/>
                <w:lang w:val="en-GB"/>
              </w:rPr>
              <w:t xml:space="preserve"> exam.</w:t>
            </w:r>
          </w:p>
          <w:p w14:paraId="63C163E0" w14:textId="77777777" w:rsidR="0087158E" w:rsidRPr="00671B20" w:rsidRDefault="0087158E" w:rsidP="0032780F">
            <w:pPr>
              <w:rPr>
                <w:rFonts w:cs="Calibri"/>
                <w:sz w:val="22"/>
                <w:szCs w:val="22"/>
                <w:lang w:val="en-GB"/>
              </w:rPr>
            </w:pPr>
            <w:r>
              <w:rPr>
                <w:rFonts w:cs="Calibri"/>
                <w:sz w:val="22"/>
                <w:szCs w:val="22"/>
                <w:lang w:val="en-GB"/>
              </w:rPr>
              <w:t>Students may fulfil one fifth (1/5) of the exam requirements by presenting a seminar paper.</w:t>
            </w:r>
          </w:p>
          <w:p w14:paraId="0D217027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>The exam is graded on a grading scale of 1-10: 6-10 (pass), 1-5 (fail); in accordance with the Statute of the UL and the Rules of the Faculty of Law.</w:t>
            </w:r>
          </w:p>
        </w:tc>
      </w:tr>
      <w:tr w:rsidR="001D6F0C" w:rsidRPr="00671B20" w14:paraId="2256193C" w14:textId="77777777" w:rsidTr="00EF7D30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F34B9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</w:p>
          <w:p w14:paraId="19566464" w14:textId="77777777" w:rsidR="001D6F0C" w:rsidRPr="00671B20" w:rsidRDefault="001D6F0C" w:rsidP="0032780F">
            <w:pPr>
              <w:rPr>
                <w:rFonts w:cs="Calibri"/>
                <w:sz w:val="22"/>
                <w:szCs w:val="22"/>
                <w:lang w:val="en-GB"/>
              </w:rPr>
            </w:pPr>
            <w:r w:rsidRPr="00671B20">
              <w:rPr>
                <w:rFonts w:cs="Calibri"/>
                <w:sz w:val="22"/>
                <w:szCs w:val="22"/>
                <w:lang w:val="en-GB"/>
              </w:rPr>
              <w:t xml:space="preserve">Reference nosilca / Lecturer's references: </w:t>
            </w:r>
          </w:p>
        </w:tc>
      </w:tr>
      <w:tr w:rsidR="001D6F0C" w:rsidRPr="00671B20" w14:paraId="5EFF8CC1" w14:textId="77777777" w:rsidTr="001D6F0C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E285" w14:textId="77777777" w:rsidR="006A73C0" w:rsidRPr="00EF7D30" w:rsidRDefault="001D6F0C" w:rsidP="007F68D0">
            <w:pPr>
              <w:rPr>
                <w:b/>
                <w:lang w:val="de-DE"/>
              </w:rPr>
            </w:pPr>
            <w:r w:rsidRPr="00EF7D30">
              <w:rPr>
                <w:lang w:val="de-DE"/>
              </w:rPr>
              <w:t xml:space="preserve">Sonosilci: </w:t>
            </w:r>
            <w:r w:rsidRPr="00EF7D30">
              <w:rPr>
                <w:b/>
                <w:lang w:val="de-DE"/>
              </w:rPr>
              <w:t xml:space="preserve"> </w:t>
            </w:r>
          </w:p>
          <w:p w14:paraId="5B88EC58" w14:textId="77777777" w:rsidR="0091644E" w:rsidRPr="00EF7D30" w:rsidRDefault="001D6F0C" w:rsidP="007F68D0">
            <w:pPr>
              <w:rPr>
                <w:lang w:val="de-DE"/>
              </w:rPr>
            </w:pPr>
            <w:r w:rsidRPr="00EF7D30">
              <w:rPr>
                <w:b/>
                <w:lang w:val="de-DE"/>
              </w:rPr>
              <w:t>prof. dr. Damjan Korošec, univ. dipl. prav.</w:t>
            </w:r>
          </w:p>
          <w:p w14:paraId="2EDFD89E" w14:textId="77777777" w:rsidR="0091644E" w:rsidRPr="00EF7D30" w:rsidRDefault="001D6F0C" w:rsidP="007F68D0">
            <w:pPr>
              <w:rPr>
                <w:lang w:val="de-DE"/>
              </w:rPr>
            </w:pPr>
            <w:r w:rsidRPr="00EF7D30">
              <w:rPr>
                <w:lang w:val="de-DE"/>
              </w:rPr>
              <w:t>[1.] Korošec D., L. Bavcon. Mednarodno kazensko pravo – posebni del (razen vojnih hudodelstev in hudodelstev zoper človečnost), dejavnosti Sveta Evrope, dejavnosti Evropske unije. Ljubljana: Pravna fakulteta v Ljubljani, 2003 [ISBN 961-6447-05-X].</w:t>
            </w:r>
          </w:p>
          <w:p w14:paraId="5C85E769" w14:textId="77777777" w:rsidR="0091644E" w:rsidRPr="004A78A8" w:rsidRDefault="001D6F0C" w:rsidP="007F68D0">
            <w:pPr>
              <w:rPr>
                <w:lang w:val="de-DE"/>
              </w:rPr>
            </w:pPr>
            <w:r w:rsidRPr="00EF7D30">
              <w:rPr>
                <w:lang w:val="de-DE"/>
              </w:rPr>
              <w:t xml:space="preserve">[2.] Korošec D. Grundlagen der Strafverfolgung völkerrechtlicher Verbrechen in Slowenien. V: Eser A., Sieber U., Kreicker H. (ur.) Nationale Strafverfolgung völkerrechtlicher Verbrechen. Teilband 3. Schriftenreihe des Max-Planck-Instituts für ausländisches und internationales Strafrecht – Band S 95.3. Berlin: Duncker &amp; Humblot Verlag, 2004 (str. 329-413) </w:t>
            </w:r>
            <w:r w:rsidRPr="00671B20">
              <w:rPr>
                <w:lang w:val="en-GB"/>
              </w:rPr>
              <w:sym w:font="Times New Roman" w:char="005B"/>
            </w:r>
            <w:r w:rsidRPr="004A78A8">
              <w:rPr>
                <w:lang w:val="de-DE"/>
              </w:rPr>
              <w:t>ISBN 3-428-11774-3]</w:t>
            </w:r>
            <w:r w:rsidR="0091644E" w:rsidRPr="004A78A8">
              <w:rPr>
                <w:lang w:val="de-DE"/>
              </w:rPr>
              <w:t>.</w:t>
            </w:r>
          </w:p>
          <w:p w14:paraId="180B81F6" w14:textId="6057B9FF" w:rsidR="0091644E" w:rsidRPr="00EF7D30" w:rsidRDefault="001D6F0C" w:rsidP="007F68D0">
            <w:pPr>
              <w:rPr>
                <w:lang w:val="de-DE"/>
              </w:rPr>
            </w:pPr>
            <w:r w:rsidRPr="004A78A8">
              <w:rPr>
                <w:lang w:val="de-DE"/>
              </w:rPr>
              <w:t xml:space="preserve">[3.] Korošec D. Genocid in sodobno kazensko pravo. Pravnik 2006; 5-6; str. 192-221 </w:t>
            </w:r>
            <w:r w:rsidRPr="00671B20">
              <w:rPr>
                <w:lang w:val="en-GB"/>
              </w:rPr>
              <w:sym w:font="Times New Roman" w:char="005B"/>
            </w:r>
            <w:r w:rsidRPr="00EF7D30">
              <w:rPr>
                <w:lang w:val="de-DE"/>
              </w:rPr>
              <w:t>ISSN 0032-6976</w:t>
            </w:r>
            <w:r w:rsidRPr="00671B20">
              <w:rPr>
                <w:lang w:val="en-GB"/>
              </w:rPr>
              <w:sym w:font="Times New Roman" w:char="005D"/>
            </w:r>
            <w:r w:rsidR="0091644E" w:rsidRPr="00EF7D30">
              <w:rPr>
                <w:lang w:val="de-DE"/>
              </w:rPr>
              <w:t>.</w:t>
            </w:r>
            <w:r w:rsidRPr="00EF7D30">
              <w:rPr>
                <w:lang w:val="de-DE"/>
              </w:rPr>
              <w:t xml:space="preserve"> </w:t>
            </w:r>
          </w:p>
          <w:p w14:paraId="20875271" w14:textId="0272749F" w:rsidR="00231664" w:rsidRPr="00EF7D30" w:rsidRDefault="00231664" w:rsidP="007F68D0">
            <w:pPr>
              <w:rPr>
                <w:lang w:val="de-DE"/>
              </w:rPr>
            </w:pPr>
          </w:p>
          <w:p w14:paraId="7BF0BABF" w14:textId="7DEBF470" w:rsidR="00231664" w:rsidRPr="00EF7D30" w:rsidRDefault="00231664" w:rsidP="007F68D0">
            <w:pPr>
              <w:rPr>
                <w:b/>
                <w:lang w:val="de-DE"/>
              </w:rPr>
            </w:pPr>
            <w:r w:rsidRPr="009B78F4">
              <w:rPr>
                <w:b/>
                <w:lang w:val="de-DE"/>
              </w:rPr>
              <w:t>doc</w:t>
            </w:r>
            <w:r w:rsidRPr="00EF7D30">
              <w:rPr>
                <w:b/>
                <w:lang w:val="de-DE"/>
              </w:rPr>
              <w:t xml:space="preserve">. dr. </w:t>
            </w:r>
            <w:r w:rsidRPr="009B78F4">
              <w:rPr>
                <w:b/>
                <w:lang w:val="de-DE"/>
              </w:rPr>
              <w:t>Maša Kovič Dine</w:t>
            </w:r>
          </w:p>
          <w:p w14:paraId="3269F5C1" w14:textId="771EED25" w:rsidR="00231664" w:rsidRPr="00EF7D30" w:rsidRDefault="00231664" w:rsidP="007F68D0">
            <w:pPr>
              <w:rPr>
                <w:sz w:val="22"/>
              </w:rPr>
            </w:pPr>
            <w:r w:rsidRPr="00EF7D30">
              <w:rPr>
                <w:sz w:val="22"/>
              </w:rPr>
              <w:t>[1.</w:t>
            </w:r>
            <w:r w:rsidRPr="00EF7D30">
              <w:t>]</w:t>
            </w:r>
            <w:r w:rsidRPr="00EF7D30">
              <w:rPr>
                <w:sz w:val="22"/>
              </w:rPr>
              <w:t xml:space="preserve"> </w:t>
            </w:r>
            <w:r w:rsidRPr="00D511C2">
              <w:rPr>
                <w:rFonts w:eastAsia="MS Mincho" w:cs="Calibri"/>
                <w:bCs/>
                <w:sz w:val="22"/>
                <w:szCs w:val="22"/>
              </w:rPr>
              <w:t>SANCIN</w:t>
            </w:r>
            <w:r w:rsidRPr="00EF7D30">
              <w:rPr>
                <w:sz w:val="22"/>
              </w:rPr>
              <w:t>, V</w:t>
            </w:r>
            <w:r>
              <w:rPr>
                <w:rFonts w:eastAsia="MS Mincho" w:cs="Calibri"/>
                <w:bCs/>
                <w:sz w:val="22"/>
                <w:szCs w:val="22"/>
              </w:rPr>
              <w:t>.</w:t>
            </w:r>
            <w:r w:rsidRPr="00D511C2">
              <w:rPr>
                <w:rFonts w:eastAsia="MS Mincho" w:cs="Calibri"/>
                <w:bCs/>
                <w:sz w:val="22"/>
                <w:szCs w:val="22"/>
              </w:rPr>
              <w:t>, KOVIČ DINE, M</w:t>
            </w:r>
            <w:r w:rsidRPr="00E173C4">
              <w:rPr>
                <w:rFonts w:eastAsia="MS Mincho" w:cs="Calibri"/>
                <w:bCs/>
                <w:sz w:val="22"/>
                <w:szCs w:val="22"/>
              </w:rPr>
              <w:t>.</w:t>
            </w:r>
            <w:r>
              <w:rPr>
                <w:rFonts w:eastAsia="MS Mincho" w:cs="Calibri"/>
                <w:bCs/>
                <w:sz w:val="22"/>
                <w:szCs w:val="22"/>
              </w:rPr>
              <w:t>:</w:t>
            </w:r>
            <w:r w:rsidRPr="00E173C4">
              <w:rPr>
                <w:rFonts w:eastAsia="MS Mincho" w:cs="Calibri"/>
                <w:bCs/>
                <w:sz w:val="22"/>
                <w:szCs w:val="22"/>
              </w:rPr>
              <w:t> Praktikum za mednarodno javno</w:t>
            </w:r>
            <w:r w:rsidRPr="00EF7D30">
              <w:rPr>
                <w:sz w:val="22"/>
              </w:rPr>
              <w:t xml:space="preserve"> pravo. Ljubljana: </w:t>
            </w:r>
            <w:r w:rsidRPr="00E173C4">
              <w:rPr>
                <w:rFonts w:eastAsia="MS Mincho" w:cs="Calibri"/>
                <w:bCs/>
                <w:sz w:val="22"/>
                <w:szCs w:val="22"/>
              </w:rPr>
              <w:t>Litteralis, 2015. </w:t>
            </w:r>
          </w:p>
          <w:p w14:paraId="026054DF" w14:textId="45A0CD0C" w:rsidR="00231664" w:rsidRDefault="00231664" w:rsidP="007F68D0">
            <w:pPr>
              <w:rPr>
                <w:rFonts w:eastAsia="Times New Roman" w:cs="Calibri"/>
                <w:iCs/>
                <w:sz w:val="22"/>
                <w:szCs w:val="22"/>
              </w:rPr>
            </w:pPr>
            <w:r w:rsidRPr="00EF7D30">
              <w:rPr>
                <w:sz w:val="22"/>
              </w:rPr>
              <w:t>[2.</w:t>
            </w:r>
            <w:r w:rsidRPr="00EF7D30">
              <w:t>]</w:t>
            </w:r>
            <w:r w:rsidRPr="00EF7D30">
              <w:rPr>
                <w:sz w:val="22"/>
              </w:rPr>
              <w:t xml:space="preserve"> </w:t>
            </w:r>
            <w:r w:rsidRPr="00562DF4">
              <w:rPr>
                <w:rFonts w:eastAsia="Times New Roman" w:cs="Calibri"/>
                <w:iCs/>
                <w:sz w:val="22"/>
                <w:szCs w:val="22"/>
              </w:rPr>
              <w:t>SANCIN, V., KOVIČ DINE, M.:</w:t>
            </w:r>
            <w:r>
              <w:rPr>
                <w:rFonts w:eastAsia="Times New Roman" w:cs="Calibri"/>
                <w:iCs/>
                <w:sz w:val="22"/>
                <w:szCs w:val="22"/>
              </w:rPr>
              <w:t xml:space="preserve"> Slovenia. V: Roach, K.(ur.):</w:t>
            </w:r>
            <w:r w:rsidRPr="00562DF4">
              <w:rPr>
                <w:rFonts w:eastAsia="Times New Roman" w:cs="Calibri"/>
                <w:iCs/>
                <w:sz w:val="22"/>
                <w:szCs w:val="22"/>
              </w:rPr>
              <w:t xml:space="preserve"> Comparative counter-terrorism law. New York: Cambridge University Press, 2015.</w:t>
            </w:r>
          </w:p>
          <w:p w14:paraId="5DAF2194" w14:textId="27846417" w:rsidR="00231664" w:rsidRPr="00950006" w:rsidRDefault="00231664" w:rsidP="007F68D0">
            <w:pPr>
              <w:rPr>
                <w:b/>
              </w:rPr>
            </w:pPr>
            <w:r>
              <w:rPr>
                <w:rFonts w:eastAsia="Times New Roman" w:cs="Calibri"/>
                <w:iCs/>
                <w:sz w:val="22"/>
                <w:szCs w:val="22"/>
              </w:rPr>
              <w:t>[3.</w:t>
            </w:r>
            <w:r>
              <w:rPr>
                <w:rFonts w:eastAsia="MS Mincho" w:cs="Calibri"/>
                <w:bCs/>
              </w:rPr>
              <w:t>]</w:t>
            </w:r>
            <w:r>
              <w:rPr>
                <w:rFonts w:eastAsia="Times New Roman" w:cs="Calibri"/>
                <w:iCs/>
                <w:sz w:val="22"/>
                <w:szCs w:val="22"/>
              </w:rPr>
              <w:t xml:space="preserve"> </w:t>
            </w:r>
            <w:r w:rsidRPr="000020C2">
              <w:rPr>
                <w:rFonts w:eastAsia="Times New Roman" w:cs="Calibri"/>
                <w:iCs/>
                <w:sz w:val="22"/>
                <w:szCs w:val="22"/>
              </w:rPr>
              <w:t>KOVIČ DINE, M</w:t>
            </w:r>
            <w:r w:rsidRPr="006C1F41">
              <w:rPr>
                <w:rFonts w:eastAsia="Times New Roman" w:cs="Calibri"/>
                <w:iCs/>
                <w:sz w:val="22"/>
                <w:szCs w:val="22"/>
              </w:rPr>
              <w:t>.</w:t>
            </w:r>
            <w:r>
              <w:rPr>
                <w:rFonts w:eastAsia="Times New Roman" w:cs="Calibri"/>
                <w:iCs/>
                <w:sz w:val="22"/>
                <w:szCs w:val="22"/>
              </w:rPr>
              <w:t>:</w:t>
            </w:r>
            <w:r w:rsidRPr="006C1F41">
              <w:rPr>
                <w:rFonts w:eastAsia="Times New Roman" w:cs="Calibri"/>
                <w:iCs/>
                <w:sz w:val="22"/>
                <w:szCs w:val="22"/>
              </w:rPr>
              <w:t xml:space="preserve"> Early warning mechanism under R2P. V: SANCIN, Vasilka (ur.). Responsibility to protect in theory and practice : papers presented at the Responsibility to Protect in Theory and Practice Conference Ljubljana, April 11 - 12, 2013. 1st run. Ljubljana: GV založba, 2013.</w:t>
            </w:r>
          </w:p>
          <w:p w14:paraId="0C85738A" w14:textId="77777777" w:rsidR="0091644E" w:rsidRPr="00950006" w:rsidRDefault="0091644E" w:rsidP="007F68D0"/>
          <w:p w14:paraId="2405EBB1" w14:textId="186E8AB5" w:rsidR="001A13D3" w:rsidRDefault="001A13D3" w:rsidP="001A13D3">
            <w:pPr>
              <w:autoSpaceDE w:val="0"/>
              <w:autoSpaceDN w:val="0"/>
              <w:adjustRightInd w:val="0"/>
              <w:rPr>
                <w:rFonts w:eastAsia="MS Mincho" w:cs="Calibri"/>
                <w:bCs/>
              </w:rPr>
            </w:pPr>
            <w:r w:rsidRPr="00950006">
              <w:rPr>
                <w:b/>
              </w:rPr>
              <w:t xml:space="preserve">doc. dr. Maruša Tekavčič Veber </w:t>
            </w:r>
            <w:r>
              <w:rPr>
                <w:rFonts w:eastAsia="MS Mincho" w:cs="Calibri"/>
                <w:bCs/>
              </w:rPr>
              <w:t>[1</w:t>
            </w:r>
            <w:r w:rsidR="00231664">
              <w:rPr>
                <w:rFonts w:eastAsia="MS Mincho" w:cs="Calibri"/>
                <w:bCs/>
              </w:rPr>
              <w:t>.</w:t>
            </w:r>
            <w:r>
              <w:rPr>
                <w:rFonts w:eastAsia="MS Mincho" w:cs="Calibri"/>
                <w:bCs/>
              </w:rPr>
              <w:t xml:space="preserve">] </w:t>
            </w:r>
            <w:r w:rsidRPr="00312480">
              <w:rPr>
                <w:rFonts w:eastAsia="MS Mincho" w:cs="Calibri"/>
                <w:bCs/>
              </w:rPr>
              <w:t>TEKAVČIČ VEBER, M.</w:t>
            </w:r>
            <w:r>
              <w:rPr>
                <w:rFonts w:eastAsia="MS Mincho" w:cs="Calibri"/>
                <w:bCs/>
              </w:rPr>
              <w:t>:</w:t>
            </w:r>
            <w:r w:rsidRPr="00312480">
              <w:rPr>
                <w:rFonts w:eastAsia="MS Mincho" w:cs="Calibri"/>
                <w:bCs/>
              </w:rPr>
              <w:t xml:space="preserve"> Palestinsko-izraelski konflikt: mednarodno pravo - quo vadis?. Teorija in praksa : revija za družbena vprašanja</w:t>
            </w:r>
            <w:r>
              <w:rPr>
                <w:rFonts w:eastAsia="MS Mincho" w:cs="Calibri"/>
                <w:bCs/>
              </w:rPr>
              <w:t xml:space="preserve">, </w:t>
            </w:r>
            <w:r w:rsidRPr="00312480">
              <w:rPr>
                <w:rFonts w:eastAsia="MS Mincho" w:cs="Calibri"/>
                <w:bCs/>
              </w:rPr>
              <w:t>2024, letn. 61, št. 1, str. 7-40</w:t>
            </w:r>
            <w:r>
              <w:rPr>
                <w:rFonts w:eastAsia="MS Mincho" w:cs="Calibri"/>
                <w:bCs/>
              </w:rPr>
              <w:t>;</w:t>
            </w:r>
          </w:p>
          <w:p w14:paraId="122FABA9" w14:textId="386B19BD" w:rsidR="001A13D3" w:rsidRDefault="001A13D3" w:rsidP="001A13D3">
            <w:pPr>
              <w:autoSpaceDE w:val="0"/>
              <w:autoSpaceDN w:val="0"/>
              <w:adjustRightInd w:val="0"/>
              <w:rPr>
                <w:rFonts w:eastAsia="MS Mincho" w:cs="Calibri"/>
                <w:bCs/>
              </w:rPr>
            </w:pPr>
            <w:r>
              <w:rPr>
                <w:rFonts w:eastAsia="MS Mincho" w:cs="Calibri"/>
                <w:bCs/>
              </w:rPr>
              <w:t>[2</w:t>
            </w:r>
            <w:r w:rsidR="00231664">
              <w:rPr>
                <w:rFonts w:eastAsia="MS Mincho" w:cs="Calibri"/>
                <w:bCs/>
              </w:rPr>
              <w:t>.</w:t>
            </w:r>
            <w:r>
              <w:rPr>
                <w:rFonts w:eastAsia="MS Mincho" w:cs="Calibri"/>
                <w:bCs/>
              </w:rPr>
              <w:t xml:space="preserve">] </w:t>
            </w:r>
            <w:bookmarkStart w:id="6" w:name="rec4"/>
            <w:bookmarkEnd w:id="6"/>
            <w:r w:rsidRPr="00312480">
              <w:rPr>
                <w:rFonts w:eastAsia="MS Mincho" w:cs="Calibri"/>
                <w:bCs/>
              </w:rPr>
              <w:t>TEKAVČIČ VEBER, M.</w:t>
            </w:r>
            <w:r>
              <w:rPr>
                <w:rFonts w:eastAsia="MS Mincho" w:cs="Calibri"/>
                <w:bCs/>
              </w:rPr>
              <w:t>:</w:t>
            </w:r>
            <w:r w:rsidRPr="00312480">
              <w:rPr>
                <w:rFonts w:eastAsia="MS Mincho" w:cs="Calibri"/>
                <w:bCs/>
              </w:rPr>
              <w:t xml:space="preserve"> Artificial intelligence and humanitarian assistance: reassessing the role of state consent. Zbornik znanstvenih razprav</w:t>
            </w:r>
            <w:r>
              <w:rPr>
                <w:rFonts w:eastAsia="MS Mincho" w:cs="Calibri"/>
                <w:bCs/>
              </w:rPr>
              <w:t xml:space="preserve">, </w:t>
            </w:r>
            <w:r w:rsidRPr="00312480">
              <w:rPr>
                <w:rFonts w:eastAsia="MS Mincho" w:cs="Calibri"/>
                <w:bCs/>
              </w:rPr>
              <w:t>2024, letn. 84, str. 217-253</w:t>
            </w:r>
            <w:r>
              <w:rPr>
                <w:rFonts w:eastAsia="MS Mincho" w:cs="Calibri"/>
                <w:bCs/>
              </w:rPr>
              <w:t>;</w:t>
            </w:r>
          </w:p>
          <w:p w14:paraId="49D93B60" w14:textId="7FC7398E" w:rsidR="001A13D3" w:rsidRDefault="001A13D3" w:rsidP="001A13D3">
            <w:pPr>
              <w:autoSpaceDE w:val="0"/>
              <w:autoSpaceDN w:val="0"/>
              <w:adjustRightInd w:val="0"/>
              <w:rPr>
                <w:rFonts w:eastAsia="MS Mincho" w:cs="Calibri"/>
                <w:bCs/>
              </w:rPr>
            </w:pPr>
            <w:r>
              <w:rPr>
                <w:rFonts w:eastAsia="MS Mincho" w:cs="Calibri"/>
                <w:bCs/>
              </w:rPr>
              <w:t>[3</w:t>
            </w:r>
            <w:r w:rsidR="00231664">
              <w:rPr>
                <w:rFonts w:eastAsia="MS Mincho" w:cs="Calibri"/>
                <w:bCs/>
              </w:rPr>
              <w:t>.</w:t>
            </w:r>
            <w:r>
              <w:rPr>
                <w:rFonts w:eastAsia="MS Mincho" w:cs="Calibri"/>
                <w:bCs/>
              </w:rPr>
              <w:t xml:space="preserve">] </w:t>
            </w:r>
            <w:r w:rsidRPr="00312480">
              <w:rPr>
                <w:rFonts w:eastAsia="MS Mincho" w:cs="Calibri"/>
                <w:bCs/>
              </w:rPr>
              <w:t>SANCIN, V</w:t>
            </w:r>
            <w:r>
              <w:rPr>
                <w:rFonts w:eastAsia="MS Mincho" w:cs="Calibri"/>
                <w:bCs/>
              </w:rPr>
              <w:t>.</w:t>
            </w:r>
            <w:r w:rsidRPr="00312480">
              <w:rPr>
                <w:rFonts w:eastAsia="MS Mincho" w:cs="Calibri"/>
                <w:bCs/>
              </w:rPr>
              <w:t>, TEKAVČIČ VEBER, M</w:t>
            </w:r>
            <w:r>
              <w:rPr>
                <w:rFonts w:eastAsia="MS Mincho" w:cs="Calibri"/>
                <w:bCs/>
              </w:rPr>
              <w:t>.</w:t>
            </w:r>
            <w:r w:rsidRPr="00312480">
              <w:rPr>
                <w:rFonts w:eastAsia="MS Mincho" w:cs="Calibri"/>
                <w:bCs/>
              </w:rPr>
              <w:t>, PODRŽAJ, P</w:t>
            </w:r>
            <w:r>
              <w:rPr>
                <w:rFonts w:eastAsia="MS Mincho" w:cs="Calibri"/>
                <w:bCs/>
              </w:rPr>
              <w:t>.</w:t>
            </w:r>
            <w:r w:rsidRPr="00312480">
              <w:rPr>
                <w:rFonts w:eastAsia="MS Mincho" w:cs="Calibri"/>
                <w:bCs/>
              </w:rPr>
              <w:t>, VEBER, G.</w:t>
            </w:r>
            <w:r>
              <w:rPr>
                <w:rFonts w:eastAsia="MS Mincho" w:cs="Calibri"/>
                <w:bCs/>
              </w:rPr>
              <w:t xml:space="preserve">: </w:t>
            </w:r>
            <w:r w:rsidRPr="00312480">
              <w:rPr>
                <w:rFonts w:eastAsia="MS Mincho" w:cs="Calibri"/>
                <w:bCs/>
              </w:rPr>
              <w:t>Privatizacija sodobnih oboroženih spopadov prek zasebnih vojaških in varnostnih podjetij: je trenutna mednarodnopravna ureditev ustrezna?. Pravnik: revija za pravno teorijo in prakso</w:t>
            </w:r>
            <w:r>
              <w:rPr>
                <w:rFonts w:eastAsia="MS Mincho" w:cs="Calibri"/>
                <w:bCs/>
              </w:rPr>
              <w:t xml:space="preserve">, </w:t>
            </w:r>
            <w:r w:rsidRPr="00312480">
              <w:rPr>
                <w:rFonts w:eastAsia="MS Mincho" w:cs="Calibri"/>
                <w:bCs/>
              </w:rPr>
              <w:t>2024, letn. 79, št. 3/4, str. 127-159</w:t>
            </w:r>
            <w:r>
              <w:rPr>
                <w:rFonts w:eastAsia="MS Mincho" w:cs="Calibri"/>
                <w:bCs/>
              </w:rPr>
              <w:t>.</w:t>
            </w:r>
          </w:p>
          <w:p w14:paraId="2DC7A892" w14:textId="18F7EAE2" w:rsidR="001A13D3" w:rsidRPr="00312480" w:rsidRDefault="001A13D3" w:rsidP="001A13D3">
            <w:pPr>
              <w:autoSpaceDE w:val="0"/>
              <w:autoSpaceDN w:val="0"/>
              <w:adjustRightInd w:val="0"/>
              <w:rPr>
                <w:rFonts w:eastAsia="MS Mincho" w:cs="Calibri"/>
                <w:bCs/>
              </w:rPr>
            </w:pPr>
            <w:r>
              <w:rPr>
                <w:rFonts w:eastAsia="MS Mincho" w:cs="Calibri"/>
                <w:bCs/>
              </w:rPr>
              <w:t>[4</w:t>
            </w:r>
            <w:r w:rsidR="00231664">
              <w:rPr>
                <w:rFonts w:eastAsia="MS Mincho" w:cs="Calibri"/>
                <w:bCs/>
              </w:rPr>
              <w:t>.</w:t>
            </w:r>
            <w:r>
              <w:rPr>
                <w:rFonts w:eastAsia="MS Mincho" w:cs="Calibri"/>
                <w:bCs/>
              </w:rPr>
              <w:t xml:space="preserve">] </w:t>
            </w:r>
            <w:r w:rsidRPr="00F815C2">
              <w:rPr>
                <w:rFonts w:eastAsia="MS Mincho" w:cs="Calibri"/>
                <w:bCs/>
              </w:rPr>
              <w:t xml:space="preserve">TEKAVČIČ VEBER, Maruša. African Unionʹs implementation of the three R2P pillars. V: SANCIN, </w:t>
            </w:r>
            <w:r>
              <w:rPr>
                <w:rFonts w:eastAsia="MS Mincho" w:cs="Calibri"/>
                <w:bCs/>
              </w:rPr>
              <w:t>V.</w:t>
            </w:r>
            <w:r w:rsidRPr="00F815C2">
              <w:rPr>
                <w:rFonts w:eastAsia="MS Mincho" w:cs="Calibri"/>
                <w:bCs/>
              </w:rPr>
              <w:t xml:space="preserve"> (ur.). Responsibility to protect: where do we stand ten years after?. 1st ed. Ljubljana: Pravna fakulteta, 2015.</w:t>
            </w:r>
          </w:p>
          <w:p w14:paraId="63A2A81F" w14:textId="77777777" w:rsidR="001A13D3" w:rsidRDefault="001A13D3" w:rsidP="007F68D0">
            <w:pPr>
              <w:rPr>
                <w:lang w:val="en-GB"/>
              </w:rPr>
            </w:pPr>
          </w:p>
          <w:p w14:paraId="6737B3F4" w14:textId="3C758391" w:rsidR="001D6F0C" w:rsidRPr="00671B20" w:rsidRDefault="001D6F0C" w:rsidP="007F68D0">
            <w:pPr>
              <w:rPr>
                <w:lang w:val="en-GB"/>
              </w:rPr>
            </w:pPr>
          </w:p>
        </w:tc>
      </w:tr>
    </w:tbl>
    <w:p w14:paraId="0CC79E49" w14:textId="77777777" w:rsidR="0032780F" w:rsidRPr="00671B20" w:rsidRDefault="0032780F" w:rsidP="0032780F">
      <w:pPr>
        <w:rPr>
          <w:rFonts w:cs="Calibri"/>
          <w:sz w:val="22"/>
          <w:szCs w:val="22"/>
          <w:lang w:val="en-GB"/>
        </w:rPr>
      </w:pPr>
    </w:p>
    <w:sectPr w:rsidR="0032780F" w:rsidRPr="00671B20" w:rsidSect="0032780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7CB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51C61"/>
    <w:multiLevelType w:val="multilevel"/>
    <w:tmpl w:val="CCC6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3F69CB"/>
    <w:multiLevelType w:val="hybridMultilevel"/>
    <w:tmpl w:val="C78A7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F495B"/>
    <w:multiLevelType w:val="multilevel"/>
    <w:tmpl w:val="BD563B4C"/>
    <w:lvl w:ilvl="0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2280291">
    <w:abstractNumId w:val="0"/>
  </w:num>
  <w:num w:numId="2" w16cid:durableId="900752069">
    <w:abstractNumId w:val="2"/>
  </w:num>
  <w:num w:numId="3" w16cid:durableId="186258782">
    <w:abstractNumId w:val="3"/>
  </w:num>
  <w:num w:numId="4" w16cid:durableId="39007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D4"/>
    <w:rsid w:val="00023456"/>
    <w:rsid w:val="000308B7"/>
    <w:rsid w:val="0003304D"/>
    <w:rsid w:val="0004398B"/>
    <w:rsid w:val="0005274A"/>
    <w:rsid w:val="000D14AA"/>
    <w:rsid w:val="000E257B"/>
    <w:rsid w:val="000F605D"/>
    <w:rsid w:val="00114451"/>
    <w:rsid w:val="00137574"/>
    <w:rsid w:val="001408F6"/>
    <w:rsid w:val="00157442"/>
    <w:rsid w:val="0017211E"/>
    <w:rsid w:val="00187E35"/>
    <w:rsid w:val="00193CAD"/>
    <w:rsid w:val="00197B54"/>
    <w:rsid w:val="001A13D3"/>
    <w:rsid w:val="001D6F0C"/>
    <w:rsid w:val="00231664"/>
    <w:rsid w:val="00244F61"/>
    <w:rsid w:val="00256050"/>
    <w:rsid w:val="002A7D40"/>
    <w:rsid w:val="00310C7E"/>
    <w:rsid w:val="0032780F"/>
    <w:rsid w:val="0033052A"/>
    <w:rsid w:val="0036163A"/>
    <w:rsid w:val="00395511"/>
    <w:rsid w:val="003C52A0"/>
    <w:rsid w:val="0049450F"/>
    <w:rsid w:val="004A78A8"/>
    <w:rsid w:val="004E1CDA"/>
    <w:rsid w:val="004E6CD2"/>
    <w:rsid w:val="00524FCD"/>
    <w:rsid w:val="0054750F"/>
    <w:rsid w:val="00547FD6"/>
    <w:rsid w:val="00557D3B"/>
    <w:rsid w:val="005642BA"/>
    <w:rsid w:val="00587025"/>
    <w:rsid w:val="00595F36"/>
    <w:rsid w:val="005E624A"/>
    <w:rsid w:val="006301B2"/>
    <w:rsid w:val="00671B20"/>
    <w:rsid w:val="00681D54"/>
    <w:rsid w:val="006A1607"/>
    <w:rsid w:val="006A3D64"/>
    <w:rsid w:val="006A44DA"/>
    <w:rsid w:val="006A73C0"/>
    <w:rsid w:val="00702197"/>
    <w:rsid w:val="007860E9"/>
    <w:rsid w:val="007908F6"/>
    <w:rsid w:val="007D3A3E"/>
    <w:rsid w:val="007E52D4"/>
    <w:rsid w:val="007F68D0"/>
    <w:rsid w:val="008070AF"/>
    <w:rsid w:val="00846110"/>
    <w:rsid w:val="00852B5B"/>
    <w:rsid w:val="0087158E"/>
    <w:rsid w:val="008A7614"/>
    <w:rsid w:val="008B5FDD"/>
    <w:rsid w:val="008C741B"/>
    <w:rsid w:val="0091472A"/>
    <w:rsid w:val="0091644E"/>
    <w:rsid w:val="00950006"/>
    <w:rsid w:val="00991088"/>
    <w:rsid w:val="009B78F4"/>
    <w:rsid w:val="009D0405"/>
    <w:rsid w:val="009F4CE5"/>
    <w:rsid w:val="00A94204"/>
    <w:rsid w:val="00AA3D93"/>
    <w:rsid w:val="00AA4E3D"/>
    <w:rsid w:val="00AC0CAF"/>
    <w:rsid w:val="00AD13E4"/>
    <w:rsid w:val="00AE7186"/>
    <w:rsid w:val="00AF749E"/>
    <w:rsid w:val="00B33323"/>
    <w:rsid w:val="00B3766D"/>
    <w:rsid w:val="00B9330A"/>
    <w:rsid w:val="00BB1532"/>
    <w:rsid w:val="00BE7473"/>
    <w:rsid w:val="00CA1317"/>
    <w:rsid w:val="00CB2E9A"/>
    <w:rsid w:val="00CC0577"/>
    <w:rsid w:val="00CF1BB0"/>
    <w:rsid w:val="00D538F4"/>
    <w:rsid w:val="00DA3BCD"/>
    <w:rsid w:val="00DE1862"/>
    <w:rsid w:val="00DF496C"/>
    <w:rsid w:val="00E50E6B"/>
    <w:rsid w:val="00EA6525"/>
    <w:rsid w:val="00EB3141"/>
    <w:rsid w:val="00EF7D30"/>
    <w:rsid w:val="00F11B82"/>
    <w:rsid w:val="00FA67BE"/>
    <w:rsid w:val="00FC7B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F79D2"/>
  <w15:chartTrackingRefBased/>
  <w15:docId w15:val="{36DCFA2A-49A1-4AEB-83EE-D6C46A93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52D4"/>
    <w:rPr>
      <w:rFonts w:ascii="Calibri" w:eastAsia="Calibri" w:hAnsi="Calibri"/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rsid w:val="00193CA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352A5E"/>
    <w:rPr>
      <w:color w:val="0000FF"/>
      <w:u w:val="single"/>
    </w:rPr>
  </w:style>
  <w:style w:type="paragraph" w:customStyle="1" w:styleId="literatura">
    <w:name w:val="literatura"/>
    <w:basedOn w:val="Navaden"/>
    <w:rsid w:val="0054750F"/>
    <w:pPr>
      <w:numPr>
        <w:numId w:val="3"/>
      </w:numPr>
      <w:tabs>
        <w:tab w:val="clear" w:pos="720"/>
        <w:tab w:val="left" w:pos="284"/>
        <w:tab w:val="num" w:pos="360"/>
      </w:tabs>
      <w:ind w:left="568" w:hanging="284"/>
      <w:jc w:val="both"/>
    </w:pPr>
    <w:rPr>
      <w:rFonts w:ascii="Times New Roman" w:eastAsia="Times New Roman" w:hAnsi="Times New Roman"/>
      <w:sz w:val="22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0F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49450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870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uiPriority w:val="99"/>
    <w:semiHidden/>
    <w:unhideWhenUsed/>
    <w:rsid w:val="00197B54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7B54"/>
  </w:style>
  <w:style w:type="character" w:customStyle="1" w:styleId="PripombabesediloZnak">
    <w:name w:val="Pripomba – besedilo Znak"/>
    <w:link w:val="Pripombabesedilo"/>
    <w:uiPriority w:val="99"/>
    <w:semiHidden/>
    <w:rsid w:val="00197B54"/>
    <w:rPr>
      <w:rFonts w:ascii="Calibri" w:eastAsia="Calibri" w:hAnsi="Calibri"/>
      <w:sz w:val="24"/>
      <w:szCs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7B54"/>
    <w:rPr>
      <w:b/>
      <w:bCs/>
      <w:sz w:val="20"/>
      <w:szCs w:val="20"/>
    </w:rPr>
  </w:style>
  <w:style w:type="character" w:customStyle="1" w:styleId="ZadevapripombeZnak">
    <w:name w:val="Zadeva pripombe Znak"/>
    <w:link w:val="Zadevapripombe"/>
    <w:uiPriority w:val="99"/>
    <w:semiHidden/>
    <w:rsid w:val="00197B54"/>
    <w:rPr>
      <w:rFonts w:ascii="Calibri" w:eastAsia="Calibri" w:hAnsi="Calibri"/>
      <w:b/>
      <w:bCs/>
      <w:sz w:val="24"/>
      <w:szCs w:val="24"/>
      <w:lang w:val="sl-SI"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197B54"/>
    <w:rPr>
      <w:rFonts w:ascii="Times New Roman" w:hAnsi="Times New Roman"/>
    </w:rPr>
  </w:style>
  <w:style w:type="character" w:customStyle="1" w:styleId="ZgradbadokumentaZnak">
    <w:name w:val="Zgradba dokumenta Znak"/>
    <w:link w:val="Zgradbadokumenta"/>
    <w:uiPriority w:val="99"/>
    <w:semiHidden/>
    <w:rsid w:val="00197B54"/>
    <w:rPr>
      <w:rFonts w:ascii="Times New Roman" w:eastAsia="Calibri" w:hAnsi="Times New Roman"/>
      <w:sz w:val="24"/>
      <w:szCs w:val="24"/>
      <w:lang w:val="sl-SI" w:eastAsia="sl-SI"/>
    </w:rPr>
  </w:style>
  <w:style w:type="paragraph" w:styleId="Revizija">
    <w:name w:val="Revision"/>
    <w:hidden/>
    <w:uiPriority w:val="71"/>
    <w:rsid w:val="00193CAD"/>
    <w:rPr>
      <w:rFonts w:ascii="Calibri" w:eastAsia="Calibri" w:hAnsi="Calibri"/>
      <w:sz w:val="24"/>
      <w:szCs w:val="24"/>
    </w:rPr>
  </w:style>
  <w:style w:type="character" w:customStyle="1" w:styleId="Naslov2Znak">
    <w:name w:val="Naslov 2 Znak"/>
    <w:link w:val="Naslov2"/>
    <w:uiPriority w:val="9"/>
    <w:rsid w:val="00193CA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dz-rs.s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9E7F29E924D4E8E4BCC1CF137BAFC" ma:contentTypeVersion="0" ma:contentTypeDescription="Ustvari nov dokument." ma:contentTypeScope="" ma:versionID="c44ed0307daf783690a0635af5f8c1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783B5A-94AB-4AC9-A8D8-0ED516035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2752B-3F3D-1B44-B5C1-ADA8AA814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DBE9B-8714-44B2-9EFA-358607DD2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16C448-0FB9-4058-80B3-69EC2D5D7A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65D411-5351-4884-AD8C-2E5A0E91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10543</CharactersWithSpaces>
  <SharedDoc>false</SharedDoc>
  <HLinks>
    <vt:vector size="6" baseType="variant"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http://www.dz-rs.si/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bumbar</dc:creator>
  <cp:keywords/>
  <cp:lastModifiedBy>Marentič, Maja</cp:lastModifiedBy>
  <cp:revision>2</cp:revision>
  <dcterms:created xsi:type="dcterms:W3CDTF">2025-07-01T11:40:00Z</dcterms:created>
  <dcterms:modified xsi:type="dcterms:W3CDTF">2025-07-01T11:40:00Z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0x010100728437A210658549A932A8057283E3E1</vt:lpwstr>
  </property>
  <property fmtid="{D5CDD505-2E9C-101B-9397-08002B2CF9AE}" pid="3" name="_activity">
    <vt:lpwstr/>
  </property>
  <property fmtid="{D5CDD505-2E9C-101B-9397-08002B2CF9AE}" pid="4" name="GrammarlyDocumentId">
    <vt:lpwstr>f7419882-23f6-4ea5-9e80-6f05cc7f255e</vt:lpwstr>
  </property>
</Properties>
</file>