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7ACC2" w14:textId="77777777" w:rsidR="00DA3F8E" w:rsidRDefault="007B012A">
      <w:pPr>
        <w:pStyle w:val="Heading1"/>
      </w:pPr>
      <w:r>
        <w:t>Evropsko upravno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DA3F8E" w14:paraId="1CE7ACC5" w14:textId="77777777" w:rsidTr="00DA3F8E">
        <w:tc>
          <w:tcPr>
            <w:cnfStyle w:val="001000000000" w:firstRow="0" w:lastRow="0" w:firstColumn="1" w:lastColumn="0" w:oddVBand="0" w:evenVBand="0" w:oddHBand="0" w:evenHBand="0" w:firstRowFirstColumn="0" w:firstRowLastColumn="0" w:lastRowFirstColumn="0" w:lastRowLastColumn="0"/>
            <w:tcW w:w="1500" w:type="pct"/>
          </w:tcPr>
          <w:p w14:paraId="1CE7ACC3" w14:textId="77777777" w:rsidR="00DA3F8E" w:rsidRDefault="007B012A">
            <w:r>
              <w:t>Predmet:</w:t>
            </w:r>
          </w:p>
        </w:tc>
        <w:tc>
          <w:tcPr>
            <w:tcW w:w="3500" w:type="pct"/>
          </w:tcPr>
          <w:p w14:paraId="1CE7ACC4" w14:textId="77777777" w:rsidR="00DA3F8E" w:rsidRDefault="007B012A">
            <w:pPr>
              <w:cnfStyle w:val="000000000000" w:firstRow="0" w:lastRow="0" w:firstColumn="0" w:lastColumn="0" w:oddVBand="0" w:evenVBand="0" w:oddHBand="0" w:evenHBand="0" w:firstRowFirstColumn="0" w:firstRowLastColumn="0" w:lastRowFirstColumn="0" w:lastRowLastColumn="0"/>
            </w:pPr>
            <w:r>
              <w:t>Evropsko upravno pravo</w:t>
            </w:r>
          </w:p>
        </w:tc>
      </w:tr>
      <w:tr w:rsidR="00DA3F8E" w14:paraId="1CE7ACC8" w14:textId="77777777" w:rsidTr="00DA3F8E">
        <w:tc>
          <w:tcPr>
            <w:cnfStyle w:val="001000000000" w:firstRow="0" w:lastRow="0" w:firstColumn="1" w:lastColumn="0" w:oddVBand="0" w:evenVBand="0" w:oddHBand="0" w:evenHBand="0" w:firstRowFirstColumn="0" w:firstRowLastColumn="0" w:lastRowFirstColumn="0" w:lastRowLastColumn="0"/>
            <w:tcW w:w="1500" w:type="pct"/>
          </w:tcPr>
          <w:p w14:paraId="1CE7ACC6" w14:textId="77777777" w:rsidR="00DA3F8E" w:rsidRDefault="007B012A">
            <w:r>
              <w:t>Course title:</w:t>
            </w:r>
          </w:p>
        </w:tc>
        <w:tc>
          <w:tcPr>
            <w:tcW w:w="3500" w:type="pct"/>
          </w:tcPr>
          <w:p w14:paraId="1CE7ACC7" w14:textId="77777777" w:rsidR="00DA3F8E" w:rsidRDefault="007B012A">
            <w:pPr>
              <w:cnfStyle w:val="000000000000" w:firstRow="0" w:lastRow="0" w:firstColumn="0" w:lastColumn="0" w:oddVBand="0" w:evenVBand="0" w:oddHBand="0" w:evenHBand="0" w:firstRowFirstColumn="0" w:firstRowLastColumn="0" w:lastRowFirstColumn="0" w:lastRowLastColumn="0"/>
            </w:pPr>
            <w:r>
              <w:t>European administrative law</w:t>
            </w:r>
          </w:p>
        </w:tc>
      </w:tr>
      <w:tr w:rsidR="00DA3F8E" w14:paraId="1CE7ACCB" w14:textId="77777777" w:rsidTr="00DA3F8E">
        <w:tc>
          <w:tcPr>
            <w:cnfStyle w:val="001000000000" w:firstRow="0" w:lastRow="0" w:firstColumn="1" w:lastColumn="0" w:oddVBand="0" w:evenVBand="0" w:oddHBand="0" w:evenHBand="0" w:firstRowFirstColumn="0" w:firstRowLastColumn="0" w:lastRowFirstColumn="0" w:lastRowLastColumn="0"/>
            <w:tcW w:w="1500" w:type="pct"/>
          </w:tcPr>
          <w:p w14:paraId="1CE7ACC9" w14:textId="77777777" w:rsidR="00DA3F8E" w:rsidRDefault="007B012A">
            <w:r>
              <w:t>Članica nosilka/UL Member:</w:t>
            </w:r>
          </w:p>
        </w:tc>
        <w:tc>
          <w:tcPr>
            <w:tcW w:w="3500" w:type="pct"/>
          </w:tcPr>
          <w:p w14:paraId="1CE7ACCA" w14:textId="77777777" w:rsidR="00DA3F8E" w:rsidRDefault="007B012A">
            <w:pPr>
              <w:cnfStyle w:val="000000000000" w:firstRow="0" w:lastRow="0" w:firstColumn="0" w:lastColumn="0" w:oddVBand="0" w:evenVBand="0" w:oddHBand="0" w:evenHBand="0" w:firstRowFirstColumn="0" w:firstRowLastColumn="0" w:lastRowFirstColumn="0" w:lastRowLastColumn="0"/>
            </w:pPr>
            <w:r>
              <w:t>UL PF</w:t>
            </w:r>
          </w:p>
        </w:tc>
      </w:tr>
    </w:tbl>
    <w:p w14:paraId="1CE7ACCC" w14:textId="77777777" w:rsidR="00DA3F8E" w:rsidRDefault="00DA3F8E"/>
    <w:tbl>
      <w:tblPr>
        <w:tblStyle w:val="DefaultTable"/>
        <w:tblW w:w="5000" w:type="pct"/>
        <w:tblLook w:val="04A0" w:firstRow="1" w:lastRow="0" w:firstColumn="1" w:lastColumn="0" w:noHBand="0" w:noVBand="1"/>
      </w:tblPr>
      <w:tblGrid>
        <w:gridCol w:w="3589"/>
        <w:gridCol w:w="2625"/>
        <w:gridCol w:w="1181"/>
        <w:gridCol w:w="1181"/>
        <w:gridCol w:w="1062"/>
      </w:tblGrid>
      <w:tr w:rsidR="00DA3F8E" w14:paraId="1CE7ACD2" w14:textId="77777777" w:rsidTr="00DA3F8E">
        <w:trPr>
          <w:cnfStyle w:val="100000000000" w:firstRow="1" w:lastRow="0" w:firstColumn="0" w:lastColumn="0" w:oddVBand="0" w:evenVBand="0" w:oddHBand="0" w:evenHBand="0" w:firstRowFirstColumn="0" w:firstRowLastColumn="0" w:lastRowFirstColumn="0" w:lastRowLastColumn="0"/>
        </w:trPr>
        <w:tc>
          <w:tcPr>
            <w:tcW w:w="2000" w:type="pct"/>
          </w:tcPr>
          <w:p w14:paraId="1CE7ACCD" w14:textId="77777777" w:rsidR="00DA3F8E" w:rsidRDefault="007B012A">
            <w:r>
              <w:t>Študijski programi in stopnja</w:t>
            </w:r>
          </w:p>
        </w:tc>
        <w:tc>
          <w:tcPr>
            <w:tcW w:w="1500" w:type="pct"/>
          </w:tcPr>
          <w:p w14:paraId="1CE7ACCE" w14:textId="77777777" w:rsidR="00DA3F8E" w:rsidRDefault="007B012A">
            <w:r>
              <w:t>Študijska smer</w:t>
            </w:r>
          </w:p>
        </w:tc>
        <w:tc>
          <w:tcPr>
            <w:tcW w:w="500" w:type="pct"/>
          </w:tcPr>
          <w:p w14:paraId="1CE7ACCF" w14:textId="77777777" w:rsidR="00DA3F8E" w:rsidRDefault="007B012A">
            <w:r>
              <w:t>Letnik</w:t>
            </w:r>
          </w:p>
        </w:tc>
        <w:tc>
          <w:tcPr>
            <w:tcW w:w="500" w:type="pct"/>
          </w:tcPr>
          <w:p w14:paraId="1CE7ACD0" w14:textId="77777777" w:rsidR="00DA3F8E" w:rsidRDefault="007B012A">
            <w:r>
              <w:t>Semestri</w:t>
            </w:r>
          </w:p>
        </w:tc>
        <w:tc>
          <w:tcPr>
            <w:tcW w:w="500" w:type="pct"/>
          </w:tcPr>
          <w:p w14:paraId="1CE7ACD1" w14:textId="77777777" w:rsidR="00DA3F8E" w:rsidRDefault="007B012A">
            <w:r>
              <w:t>Izbirnost</w:t>
            </w:r>
          </w:p>
        </w:tc>
      </w:tr>
      <w:tr w:rsidR="00DA3F8E" w14:paraId="1CE7ACD8" w14:textId="77777777" w:rsidTr="00DA3F8E">
        <w:tc>
          <w:tcPr>
            <w:tcW w:w="2000" w:type="pct"/>
          </w:tcPr>
          <w:p w14:paraId="1CE7ACD3" w14:textId="77777777" w:rsidR="00DA3F8E" w:rsidRDefault="007B012A">
            <w:r>
              <w:t>Pravo, tretja stopnja, doktorski</w:t>
            </w:r>
          </w:p>
        </w:tc>
        <w:tc>
          <w:tcPr>
            <w:tcW w:w="1500" w:type="pct"/>
          </w:tcPr>
          <w:p w14:paraId="1CE7ACD4" w14:textId="77777777" w:rsidR="00DA3F8E" w:rsidRDefault="007B012A">
            <w:r>
              <w:t xml:space="preserve">Ni členitve (študijski program)                </w:t>
            </w:r>
          </w:p>
        </w:tc>
        <w:tc>
          <w:tcPr>
            <w:tcW w:w="750" w:type="pct"/>
          </w:tcPr>
          <w:p w14:paraId="1CE7ACD5" w14:textId="77777777" w:rsidR="00DA3F8E" w:rsidRDefault="007B012A">
            <w:r>
              <w:t>1. letnik</w:t>
            </w:r>
          </w:p>
        </w:tc>
        <w:tc>
          <w:tcPr>
            <w:tcW w:w="750" w:type="pct"/>
          </w:tcPr>
          <w:p w14:paraId="1CE7ACD6" w14:textId="77777777" w:rsidR="00DA3F8E" w:rsidRDefault="007B012A">
            <w:r>
              <w:t>2. semester</w:t>
            </w:r>
          </w:p>
        </w:tc>
        <w:tc>
          <w:tcPr>
            <w:tcW w:w="750" w:type="pct"/>
          </w:tcPr>
          <w:p w14:paraId="1CE7ACD7" w14:textId="77777777" w:rsidR="00DA3F8E" w:rsidRDefault="007B012A">
            <w:r>
              <w:t>izbirni</w:t>
            </w:r>
          </w:p>
        </w:tc>
      </w:tr>
    </w:tbl>
    <w:p w14:paraId="1CE7ACD9" w14:textId="77777777" w:rsidR="00DA3F8E" w:rsidRDefault="00DA3F8E"/>
    <w:tbl>
      <w:tblPr>
        <w:tblStyle w:val="VerticalTable"/>
        <w:tblW w:w="5000" w:type="pct"/>
        <w:tblLook w:val="04A0" w:firstRow="1" w:lastRow="0" w:firstColumn="1" w:lastColumn="0" w:noHBand="0" w:noVBand="1"/>
      </w:tblPr>
      <w:tblGrid>
        <w:gridCol w:w="5298"/>
        <w:gridCol w:w="4335"/>
      </w:tblGrid>
      <w:tr w:rsidR="00DA3F8E" w14:paraId="1CE7ACDC" w14:textId="77777777" w:rsidTr="00DA3F8E">
        <w:tc>
          <w:tcPr>
            <w:cnfStyle w:val="001000000000" w:firstRow="0" w:lastRow="0" w:firstColumn="1" w:lastColumn="0" w:oddVBand="0" w:evenVBand="0" w:oddHBand="0" w:evenHBand="0" w:firstRowFirstColumn="0" w:firstRowLastColumn="0" w:lastRowFirstColumn="0" w:lastRowLastColumn="0"/>
            <w:tcW w:w="2750" w:type="pct"/>
          </w:tcPr>
          <w:p w14:paraId="1CE7ACDA" w14:textId="77777777" w:rsidR="00DA3F8E" w:rsidRDefault="007B012A">
            <w:r>
              <w:t>Univerzitetna koda predmeta/University course code:</w:t>
            </w:r>
          </w:p>
        </w:tc>
        <w:tc>
          <w:tcPr>
            <w:tcW w:w="2250" w:type="pct"/>
          </w:tcPr>
          <w:p w14:paraId="1CE7ACDB" w14:textId="77777777" w:rsidR="00DA3F8E" w:rsidRDefault="007B012A">
            <w:pPr>
              <w:cnfStyle w:val="000000000000" w:firstRow="0" w:lastRow="0" w:firstColumn="0" w:lastColumn="0" w:oddVBand="0" w:evenVBand="0" w:oddHBand="0" w:evenHBand="0" w:firstRowFirstColumn="0" w:firstRowLastColumn="0" w:lastRowFirstColumn="0" w:lastRowLastColumn="0"/>
            </w:pPr>
            <w:r>
              <w:t>0043633</w:t>
            </w:r>
          </w:p>
        </w:tc>
      </w:tr>
      <w:tr w:rsidR="00DA3F8E" w14:paraId="1CE7ACDF" w14:textId="77777777" w:rsidTr="00DA3F8E">
        <w:tc>
          <w:tcPr>
            <w:cnfStyle w:val="001000000000" w:firstRow="0" w:lastRow="0" w:firstColumn="1" w:lastColumn="0" w:oddVBand="0" w:evenVBand="0" w:oddHBand="0" w:evenHBand="0" w:firstRowFirstColumn="0" w:firstRowLastColumn="0" w:lastRowFirstColumn="0" w:lastRowLastColumn="0"/>
            <w:tcW w:w="2750" w:type="pct"/>
          </w:tcPr>
          <w:p w14:paraId="1CE7ACDD" w14:textId="77777777" w:rsidR="00DA3F8E" w:rsidRDefault="007B012A">
            <w:r>
              <w:t>Koda učne enote na članici/UL Member course code:</w:t>
            </w:r>
          </w:p>
        </w:tc>
        <w:tc>
          <w:tcPr>
            <w:tcW w:w="2250" w:type="pct"/>
          </w:tcPr>
          <w:p w14:paraId="1CE7ACDE" w14:textId="77777777" w:rsidR="00DA3F8E" w:rsidRDefault="007B012A">
            <w:pPr>
              <w:cnfStyle w:val="000000000000" w:firstRow="0" w:lastRow="0" w:firstColumn="0" w:lastColumn="0" w:oddVBand="0" w:evenVBand="0" w:oddHBand="0" w:evenHBand="0" w:firstRowFirstColumn="0" w:firstRowLastColumn="0" w:lastRowFirstColumn="0" w:lastRowLastColumn="0"/>
            </w:pPr>
            <w:r>
              <w:t>551</w:t>
            </w:r>
          </w:p>
        </w:tc>
      </w:tr>
    </w:tbl>
    <w:p w14:paraId="1CE7ACE0" w14:textId="77777777" w:rsidR="00DA3F8E" w:rsidRDefault="00DA3F8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DA3F8E" w14:paraId="1CE7ACE8" w14:textId="77777777" w:rsidTr="00DA3F8E">
        <w:trPr>
          <w:cnfStyle w:val="100000000000" w:firstRow="1" w:lastRow="0" w:firstColumn="0" w:lastColumn="0" w:oddVBand="0" w:evenVBand="0" w:oddHBand="0" w:evenHBand="0" w:firstRowFirstColumn="0" w:firstRowLastColumn="0" w:lastRowFirstColumn="0" w:lastRowLastColumn="0"/>
        </w:trPr>
        <w:tc>
          <w:tcPr>
            <w:tcW w:w="800" w:type="pct"/>
          </w:tcPr>
          <w:p w14:paraId="1CE7ACE1" w14:textId="77777777" w:rsidR="00DA3F8E" w:rsidRDefault="007B012A">
            <w:pPr>
              <w:keepNext/>
              <w:jc w:val="center"/>
            </w:pPr>
            <w:r>
              <w:t>Predavanja</w:t>
            </w:r>
            <w:r>
              <w:br/>
              <w:t>/Lectures</w:t>
            </w:r>
          </w:p>
        </w:tc>
        <w:tc>
          <w:tcPr>
            <w:tcW w:w="800" w:type="pct"/>
          </w:tcPr>
          <w:p w14:paraId="1CE7ACE2" w14:textId="77777777" w:rsidR="00DA3F8E" w:rsidRDefault="007B012A">
            <w:pPr>
              <w:keepNext/>
              <w:jc w:val="center"/>
            </w:pPr>
            <w:r>
              <w:t>Seminar</w:t>
            </w:r>
            <w:r>
              <w:br/>
              <w:t>/Seminar</w:t>
            </w:r>
          </w:p>
        </w:tc>
        <w:tc>
          <w:tcPr>
            <w:tcW w:w="800" w:type="pct"/>
          </w:tcPr>
          <w:p w14:paraId="1CE7ACE3" w14:textId="77777777" w:rsidR="00DA3F8E" w:rsidRDefault="007B012A">
            <w:pPr>
              <w:keepNext/>
              <w:jc w:val="center"/>
            </w:pPr>
            <w:r>
              <w:t>Vaje</w:t>
            </w:r>
            <w:r>
              <w:br/>
              <w:t>/Tutorials</w:t>
            </w:r>
          </w:p>
        </w:tc>
        <w:tc>
          <w:tcPr>
            <w:tcW w:w="800" w:type="pct"/>
          </w:tcPr>
          <w:p w14:paraId="1CE7ACE4" w14:textId="77777777" w:rsidR="00DA3F8E" w:rsidRDefault="007B012A">
            <w:pPr>
              <w:keepNext/>
              <w:jc w:val="center"/>
            </w:pPr>
            <w:r>
              <w:t>Klinične vaje</w:t>
            </w:r>
            <w:r>
              <w:br/>
              <w:t>/Clinical tutorials</w:t>
            </w:r>
          </w:p>
        </w:tc>
        <w:tc>
          <w:tcPr>
            <w:tcW w:w="800" w:type="pct"/>
          </w:tcPr>
          <w:p w14:paraId="1CE7ACE5" w14:textId="77777777" w:rsidR="00DA3F8E" w:rsidRDefault="007B012A">
            <w:pPr>
              <w:keepNext/>
              <w:jc w:val="center"/>
            </w:pPr>
            <w:r>
              <w:t>Druge oblike študija</w:t>
            </w:r>
            <w:r>
              <w:br/>
              <w:t>/Other forms of study</w:t>
            </w:r>
          </w:p>
        </w:tc>
        <w:tc>
          <w:tcPr>
            <w:tcW w:w="800" w:type="pct"/>
          </w:tcPr>
          <w:p w14:paraId="1CE7ACE6" w14:textId="77777777" w:rsidR="00DA3F8E" w:rsidRDefault="007B012A">
            <w:pPr>
              <w:keepNext/>
              <w:jc w:val="center"/>
            </w:pPr>
            <w:r>
              <w:t>Samostojno delo</w:t>
            </w:r>
            <w:r>
              <w:br/>
              <w:t>/Individual student work</w:t>
            </w:r>
          </w:p>
        </w:tc>
        <w:tc>
          <w:tcPr>
            <w:tcW w:w="200" w:type="pct"/>
          </w:tcPr>
          <w:p w14:paraId="1CE7ACE7" w14:textId="77777777" w:rsidR="00DA3F8E" w:rsidRDefault="007B012A">
            <w:pPr>
              <w:keepNext/>
              <w:jc w:val="center"/>
            </w:pPr>
            <w:r>
              <w:t>ECTS</w:t>
            </w:r>
          </w:p>
        </w:tc>
      </w:tr>
      <w:tr w:rsidR="00DA3F8E" w14:paraId="1CE7ACF0" w14:textId="77777777">
        <w:tc>
          <w:tcPr>
            <w:tcW w:w="0" w:type="auto"/>
          </w:tcPr>
          <w:p w14:paraId="1CE7ACE9" w14:textId="77777777" w:rsidR="00DA3F8E" w:rsidRDefault="007B012A">
            <w:pPr>
              <w:keepNext/>
              <w:jc w:val="center"/>
            </w:pPr>
            <w:r>
              <w:t>15</w:t>
            </w:r>
          </w:p>
        </w:tc>
        <w:tc>
          <w:tcPr>
            <w:tcW w:w="0" w:type="auto"/>
          </w:tcPr>
          <w:p w14:paraId="1CE7ACEA" w14:textId="77777777" w:rsidR="00DA3F8E" w:rsidRDefault="007B012A">
            <w:pPr>
              <w:keepNext/>
              <w:jc w:val="center"/>
            </w:pPr>
            <w:r>
              <w:t>8</w:t>
            </w:r>
          </w:p>
        </w:tc>
        <w:tc>
          <w:tcPr>
            <w:tcW w:w="0" w:type="auto"/>
          </w:tcPr>
          <w:p w14:paraId="1CE7ACEB" w14:textId="77777777" w:rsidR="00DA3F8E" w:rsidRDefault="007B012A">
            <w:pPr>
              <w:keepNext/>
              <w:jc w:val="center"/>
            </w:pPr>
            <w:r>
              <w:t>0</w:t>
            </w:r>
          </w:p>
        </w:tc>
        <w:tc>
          <w:tcPr>
            <w:tcW w:w="0" w:type="auto"/>
          </w:tcPr>
          <w:p w14:paraId="1CE7ACEC" w14:textId="77777777" w:rsidR="00DA3F8E" w:rsidRDefault="007B012A">
            <w:pPr>
              <w:keepNext/>
              <w:jc w:val="center"/>
            </w:pPr>
            <w:r>
              <w:t>0</w:t>
            </w:r>
          </w:p>
        </w:tc>
        <w:tc>
          <w:tcPr>
            <w:tcW w:w="0" w:type="auto"/>
          </w:tcPr>
          <w:p w14:paraId="1CE7ACED" w14:textId="77777777" w:rsidR="00DA3F8E" w:rsidRDefault="007B012A">
            <w:pPr>
              <w:keepNext/>
              <w:jc w:val="center"/>
            </w:pPr>
            <w:r>
              <w:t>0</w:t>
            </w:r>
          </w:p>
        </w:tc>
        <w:tc>
          <w:tcPr>
            <w:tcW w:w="0" w:type="auto"/>
          </w:tcPr>
          <w:p w14:paraId="1CE7ACEE" w14:textId="77777777" w:rsidR="00DA3F8E" w:rsidRDefault="007B012A">
            <w:pPr>
              <w:keepNext/>
              <w:jc w:val="center"/>
            </w:pPr>
            <w:r>
              <w:t>102</w:t>
            </w:r>
          </w:p>
        </w:tc>
        <w:tc>
          <w:tcPr>
            <w:tcW w:w="0" w:type="auto"/>
          </w:tcPr>
          <w:p w14:paraId="1CE7ACEF" w14:textId="77777777" w:rsidR="00DA3F8E" w:rsidRDefault="007B012A">
            <w:pPr>
              <w:keepNext/>
              <w:jc w:val="center"/>
            </w:pPr>
            <w:r>
              <w:t>5</w:t>
            </w:r>
          </w:p>
        </w:tc>
      </w:tr>
    </w:tbl>
    <w:p w14:paraId="1CE7ACF1" w14:textId="77777777" w:rsidR="00DA3F8E" w:rsidRDefault="00DA3F8E"/>
    <w:tbl>
      <w:tblPr>
        <w:tblStyle w:val="VerticalTable"/>
        <w:tblW w:w="5000" w:type="pct"/>
        <w:tblLook w:val="04A0" w:firstRow="1" w:lastRow="0" w:firstColumn="1" w:lastColumn="0" w:noHBand="0" w:noVBand="1"/>
      </w:tblPr>
      <w:tblGrid>
        <w:gridCol w:w="3083"/>
        <w:gridCol w:w="6550"/>
      </w:tblGrid>
      <w:tr w:rsidR="00DA3F8E" w14:paraId="1CE7ACF4"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CF2" w14:textId="77777777" w:rsidR="00DA3F8E" w:rsidRDefault="007B012A">
            <w:r>
              <w:t>Nosilec predmeta/Lecturer:</w:t>
            </w:r>
          </w:p>
        </w:tc>
        <w:tc>
          <w:tcPr>
            <w:tcW w:w="3400" w:type="pct"/>
          </w:tcPr>
          <w:p w14:paraId="1CE7ACF3" w14:textId="77777777" w:rsidR="00DA3F8E" w:rsidRDefault="007B012A">
            <w:pPr>
              <w:cnfStyle w:val="000000000000" w:firstRow="0" w:lastRow="0" w:firstColumn="0" w:lastColumn="0" w:oddVBand="0" w:evenVBand="0" w:oddHBand="0" w:evenHBand="0" w:firstRowFirstColumn="0" w:firstRowLastColumn="0" w:lastRowFirstColumn="0" w:lastRowLastColumn="0"/>
            </w:pPr>
            <w:r>
              <w:t xml:space="preserve">Bruna Žuber            </w:t>
            </w:r>
          </w:p>
        </w:tc>
      </w:tr>
    </w:tbl>
    <w:p w14:paraId="1CE7ACF5" w14:textId="77777777" w:rsidR="00DA3F8E" w:rsidRDefault="00DA3F8E"/>
    <w:tbl>
      <w:tblPr>
        <w:tblStyle w:val="VerticalTable"/>
        <w:tblW w:w="5000" w:type="pct"/>
        <w:tblLook w:val="04A0" w:firstRow="1" w:lastRow="0" w:firstColumn="1" w:lastColumn="0" w:noHBand="0" w:noVBand="1"/>
      </w:tblPr>
      <w:tblGrid>
        <w:gridCol w:w="3083"/>
        <w:gridCol w:w="6550"/>
      </w:tblGrid>
      <w:tr w:rsidR="00DA3F8E" w14:paraId="1CE7ACF8"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CF6" w14:textId="77777777" w:rsidR="00DA3F8E" w:rsidRDefault="007B012A">
            <w:r>
              <w:t>Izvajalci predavanj:</w:t>
            </w:r>
          </w:p>
        </w:tc>
        <w:tc>
          <w:tcPr>
            <w:tcW w:w="3400" w:type="pct"/>
          </w:tcPr>
          <w:p w14:paraId="1CE7ACF7" w14:textId="77777777" w:rsidR="00DA3F8E" w:rsidRDefault="007B012A">
            <w:pPr>
              <w:cnfStyle w:val="000000000000" w:firstRow="0" w:lastRow="0" w:firstColumn="0" w:lastColumn="0" w:oddVBand="0" w:evenVBand="0" w:oddHBand="0" w:evenHBand="0" w:firstRowFirstColumn="0" w:firstRowLastColumn="0" w:lastRowFirstColumn="0" w:lastRowLastColumn="0"/>
            </w:pPr>
            <w:r>
              <w:t xml:space="preserve">Bruna Žuber                </w:t>
            </w:r>
          </w:p>
        </w:tc>
      </w:tr>
      <w:tr w:rsidR="00DA3F8E" w14:paraId="1CE7ACFB"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CF9" w14:textId="77777777" w:rsidR="00DA3F8E" w:rsidRDefault="007B012A">
            <w:r>
              <w:t>Izvajalci seminarjev:</w:t>
            </w:r>
          </w:p>
        </w:tc>
        <w:tc>
          <w:tcPr>
            <w:tcW w:w="3400" w:type="pct"/>
          </w:tcPr>
          <w:p w14:paraId="1CE7ACFA" w14:textId="77777777" w:rsidR="00DA3F8E" w:rsidRDefault="007B012A">
            <w:pPr>
              <w:cnfStyle w:val="000000000000" w:firstRow="0" w:lastRow="0" w:firstColumn="0" w:lastColumn="0" w:oddVBand="0" w:evenVBand="0" w:oddHBand="0" w:evenHBand="0" w:firstRowFirstColumn="0" w:firstRowLastColumn="0" w:lastRowFirstColumn="0" w:lastRowLastColumn="0"/>
            </w:pPr>
            <w:r>
              <w:t xml:space="preserve">Bruna Žuber                </w:t>
            </w:r>
          </w:p>
        </w:tc>
      </w:tr>
      <w:tr w:rsidR="00DA3F8E" w14:paraId="1CE7ACFE"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CFC" w14:textId="77777777" w:rsidR="00DA3F8E" w:rsidRDefault="007B012A">
            <w:r>
              <w:t>Izvajalci vaj:</w:t>
            </w:r>
          </w:p>
        </w:tc>
        <w:tc>
          <w:tcPr>
            <w:tcW w:w="3400" w:type="pct"/>
          </w:tcPr>
          <w:p w14:paraId="1CE7ACFD" w14:textId="77777777" w:rsidR="00DA3F8E" w:rsidRDefault="00DA3F8E">
            <w:pPr>
              <w:cnfStyle w:val="000000000000" w:firstRow="0" w:lastRow="0" w:firstColumn="0" w:lastColumn="0" w:oddVBand="0" w:evenVBand="0" w:oddHBand="0" w:evenHBand="0" w:firstRowFirstColumn="0" w:firstRowLastColumn="0" w:lastRowFirstColumn="0" w:lastRowLastColumn="0"/>
            </w:pPr>
          </w:p>
        </w:tc>
      </w:tr>
      <w:tr w:rsidR="00DA3F8E" w14:paraId="1CE7AD01"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CFF" w14:textId="77777777" w:rsidR="00DA3F8E" w:rsidRDefault="007B012A">
            <w:r>
              <w:t>Izvajalci kliničnih vaj:</w:t>
            </w:r>
          </w:p>
        </w:tc>
        <w:tc>
          <w:tcPr>
            <w:tcW w:w="3400" w:type="pct"/>
          </w:tcPr>
          <w:p w14:paraId="1CE7AD00" w14:textId="77777777" w:rsidR="00DA3F8E" w:rsidRDefault="00DA3F8E">
            <w:pPr>
              <w:cnfStyle w:val="000000000000" w:firstRow="0" w:lastRow="0" w:firstColumn="0" w:lastColumn="0" w:oddVBand="0" w:evenVBand="0" w:oddHBand="0" w:evenHBand="0" w:firstRowFirstColumn="0" w:firstRowLastColumn="0" w:lastRowFirstColumn="0" w:lastRowLastColumn="0"/>
            </w:pPr>
          </w:p>
        </w:tc>
      </w:tr>
      <w:tr w:rsidR="00DA3F8E" w14:paraId="1CE7AD04"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D02" w14:textId="77777777" w:rsidR="00DA3F8E" w:rsidRDefault="007B012A">
            <w:r>
              <w:t>Izvajalci drugih oblik:</w:t>
            </w:r>
          </w:p>
        </w:tc>
        <w:tc>
          <w:tcPr>
            <w:tcW w:w="3400" w:type="pct"/>
          </w:tcPr>
          <w:p w14:paraId="1CE7AD03" w14:textId="77777777" w:rsidR="00DA3F8E" w:rsidRDefault="00DA3F8E">
            <w:pPr>
              <w:cnfStyle w:val="000000000000" w:firstRow="0" w:lastRow="0" w:firstColumn="0" w:lastColumn="0" w:oddVBand="0" w:evenVBand="0" w:oddHBand="0" w:evenHBand="0" w:firstRowFirstColumn="0" w:firstRowLastColumn="0" w:lastRowFirstColumn="0" w:lastRowLastColumn="0"/>
            </w:pPr>
          </w:p>
        </w:tc>
      </w:tr>
      <w:tr w:rsidR="00DA3F8E" w14:paraId="1CE7AD07"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D05" w14:textId="77777777" w:rsidR="00DA3F8E" w:rsidRDefault="007B012A">
            <w:r>
              <w:t>Izvajalci praktičnega usposabljanja:</w:t>
            </w:r>
          </w:p>
        </w:tc>
        <w:tc>
          <w:tcPr>
            <w:tcW w:w="3400" w:type="pct"/>
          </w:tcPr>
          <w:p w14:paraId="1CE7AD06" w14:textId="77777777" w:rsidR="00DA3F8E" w:rsidRDefault="00DA3F8E">
            <w:pPr>
              <w:cnfStyle w:val="000000000000" w:firstRow="0" w:lastRow="0" w:firstColumn="0" w:lastColumn="0" w:oddVBand="0" w:evenVBand="0" w:oddHBand="0" w:evenHBand="0" w:firstRowFirstColumn="0" w:firstRowLastColumn="0" w:lastRowFirstColumn="0" w:lastRowLastColumn="0"/>
            </w:pPr>
          </w:p>
        </w:tc>
      </w:tr>
    </w:tbl>
    <w:p w14:paraId="1CE7AD08" w14:textId="77777777" w:rsidR="00DA3F8E" w:rsidRDefault="00DA3F8E"/>
    <w:tbl>
      <w:tblPr>
        <w:tblStyle w:val="VerticalTable"/>
        <w:tblW w:w="5000" w:type="pct"/>
        <w:tblLook w:val="04A0" w:firstRow="1" w:lastRow="0" w:firstColumn="1" w:lastColumn="0" w:noHBand="0" w:noVBand="1"/>
      </w:tblPr>
      <w:tblGrid>
        <w:gridCol w:w="3083"/>
        <w:gridCol w:w="6550"/>
      </w:tblGrid>
      <w:tr w:rsidR="00DA3F8E" w14:paraId="1CE7AD0B"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D09" w14:textId="77777777" w:rsidR="00DA3F8E" w:rsidRDefault="007B012A">
            <w:r>
              <w:t>Vrsta predmeta/Course type:</w:t>
            </w:r>
          </w:p>
        </w:tc>
        <w:tc>
          <w:tcPr>
            <w:tcW w:w="3400" w:type="pct"/>
          </w:tcPr>
          <w:p w14:paraId="1CE7AD0A" w14:textId="77777777" w:rsidR="00DA3F8E" w:rsidRDefault="007B012A">
            <w:pPr>
              <w:cnfStyle w:val="000000000000" w:firstRow="0" w:lastRow="0" w:firstColumn="0" w:lastColumn="0" w:oddVBand="0" w:evenVBand="0" w:oddHBand="0" w:evenHBand="0" w:firstRowFirstColumn="0" w:firstRowLastColumn="0" w:lastRowFirstColumn="0" w:lastRowLastColumn="0"/>
            </w:pPr>
            <w:r>
              <w:t>izbirni/Optional subject</w:t>
            </w:r>
          </w:p>
        </w:tc>
      </w:tr>
    </w:tbl>
    <w:p w14:paraId="1CE7AD0C" w14:textId="77777777" w:rsidR="00DA3F8E" w:rsidRDefault="00DA3F8E"/>
    <w:tbl>
      <w:tblPr>
        <w:tblStyle w:val="VerticalTable"/>
        <w:tblW w:w="5000" w:type="pct"/>
        <w:tblLook w:val="04A0" w:firstRow="1" w:lastRow="0" w:firstColumn="1" w:lastColumn="0" w:noHBand="0" w:noVBand="1"/>
      </w:tblPr>
      <w:tblGrid>
        <w:gridCol w:w="3082"/>
        <w:gridCol w:w="3083"/>
        <w:gridCol w:w="3468"/>
      </w:tblGrid>
      <w:tr w:rsidR="00DA3F8E" w14:paraId="1CE7AD10"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D0D" w14:textId="77777777" w:rsidR="00DA3F8E" w:rsidRDefault="007B012A">
            <w:r>
              <w:t>Jeziki/Languages:</w:t>
            </w:r>
          </w:p>
        </w:tc>
        <w:tc>
          <w:tcPr>
            <w:tcW w:w="1600" w:type="pct"/>
          </w:tcPr>
          <w:p w14:paraId="1CE7AD0E" w14:textId="77777777" w:rsidR="00DA3F8E" w:rsidRDefault="007B012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1CE7AD0F" w14:textId="77777777" w:rsidR="00DA3F8E" w:rsidRDefault="007B012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A3F8E" w14:paraId="1CE7AD14" w14:textId="77777777" w:rsidTr="00DA3F8E">
        <w:tc>
          <w:tcPr>
            <w:cnfStyle w:val="001000000000" w:firstRow="0" w:lastRow="0" w:firstColumn="1" w:lastColumn="0" w:oddVBand="0" w:evenVBand="0" w:oddHBand="0" w:evenHBand="0" w:firstRowFirstColumn="0" w:firstRowLastColumn="0" w:lastRowFirstColumn="0" w:lastRowLastColumn="0"/>
            <w:tcW w:w="1600" w:type="pct"/>
          </w:tcPr>
          <w:p w14:paraId="1CE7AD11" w14:textId="77777777" w:rsidR="00DA3F8E" w:rsidRDefault="00DA3F8E"/>
        </w:tc>
        <w:tc>
          <w:tcPr>
            <w:tcW w:w="1600" w:type="pct"/>
          </w:tcPr>
          <w:p w14:paraId="1CE7AD12" w14:textId="77777777" w:rsidR="00DA3F8E" w:rsidRDefault="007B012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1CE7AD13" w14:textId="77777777" w:rsidR="00DA3F8E" w:rsidRDefault="00DA3F8E">
            <w:pPr>
              <w:cnfStyle w:val="000000000000" w:firstRow="0" w:lastRow="0" w:firstColumn="0" w:lastColumn="0" w:oddVBand="0" w:evenVBand="0" w:oddHBand="0" w:evenHBand="0" w:firstRowFirstColumn="0" w:firstRowLastColumn="0" w:lastRowFirstColumn="0" w:lastRowLastColumn="0"/>
            </w:pPr>
          </w:p>
        </w:tc>
      </w:tr>
    </w:tbl>
    <w:p w14:paraId="1CE7AD15" w14:textId="77777777" w:rsidR="00DA3F8E" w:rsidRDefault="00DA3F8E"/>
    <w:tbl>
      <w:tblPr>
        <w:tblStyle w:val="DefaultTable"/>
        <w:tblW w:w="5000" w:type="pct"/>
        <w:tblLook w:val="04A0" w:firstRow="1" w:lastRow="0" w:firstColumn="1" w:lastColumn="0" w:noHBand="0" w:noVBand="1"/>
      </w:tblPr>
      <w:tblGrid>
        <w:gridCol w:w="4819"/>
        <w:gridCol w:w="4819"/>
      </w:tblGrid>
      <w:tr w:rsidR="00DA3F8E" w14:paraId="1CE7AD18" w14:textId="77777777" w:rsidTr="00DA3F8E">
        <w:trPr>
          <w:cnfStyle w:val="100000000000" w:firstRow="1" w:lastRow="0" w:firstColumn="0" w:lastColumn="0" w:oddVBand="0" w:evenVBand="0" w:oddHBand="0" w:evenHBand="0" w:firstRowFirstColumn="0" w:firstRowLastColumn="0" w:lastRowFirstColumn="0" w:lastRowLastColumn="0"/>
        </w:trPr>
        <w:tc>
          <w:tcPr>
            <w:tcW w:w="2500" w:type="pct"/>
          </w:tcPr>
          <w:p w14:paraId="1CE7AD16" w14:textId="77777777" w:rsidR="00DA3F8E" w:rsidRDefault="007B012A">
            <w:r>
              <w:t>Pogoji za vključitev v delo oz. za opravljanje študijskih obveznosti:</w:t>
            </w:r>
          </w:p>
        </w:tc>
        <w:tc>
          <w:tcPr>
            <w:tcW w:w="2500" w:type="pct"/>
          </w:tcPr>
          <w:p w14:paraId="1CE7AD17" w14:textId="77777777" w:rsidR="00DA3F8E" w:rsidRDefault="007B012A">
            <w:r>
              <w:t>Prerequisites:</w:t>
            </w:r>
          </w:p>
        </w:tc>
      </w:tr>
      <w:tr w:rsidR="00DA3F8E" w14:paraId="1CE7AD1B" w14:textId="77777777">
        <w:tc>
          <w:tcPr>
            <w:tcW w:w="0" w:type="auto"/>
          </w:tcPr>
          <w:p w14:paraId="1CE7AD19" w14:textId="77777777" w:rsidR="00DA3F8E" w:rsidRDefault="007B012A">
            <w:r>
              <w:t>Izpolnjevanje pogojev za vpis na doktorski študij Pravo in osnovno znanje s področja predmeta, ki ustreza znanju na tem področju, pridobljenem na ravni prve in (ali) druge stopnje študija prava.</w:t>
            </w:r>
          </w:p>
        </w:tc>
        <w:tc>
          <w:tcPr>
            <w:tcW w:w="0" w:type="auto"/>
          </w:tcPr>
          <w:p w14:paraId="1CE7AD1A" w14:textId="77777777" w:rsidR="00DA3F8E" w:rsidRDefault="007B012A">
            <w:r>
              <w:t>General conditions for enrolment into the Doctoral Programme in Legal Studies with a basic knowledge of the subject at the level of first and (or) second cycle programme in Legal Studies.</w:t>
            </w:r>
          </w:p>
        </w:tc>
      </w:tr>
    </w:tbl>
    <w:p w14:paraId="1CE7AD1C" w14:textId="77777777" w:rsidR="00DA3F8E" w:rsidRDefault="00DA3F8E"/>
    <w:tbl>
      <w:tblPr>
        <w:tblStyle w:val="DefaultTable"/>
        <w:tblW w:w="5000" w:type="pct"/>
        <w:tblLook w:val="04A0" w:firstRow="1" w:lastRow="0" w:firstColumn="1" w:lastColumn="0" w:noHBand="0" w:noVBand="1"/>
      </w:tblPr>
      <w:tblGrid>
        <w:gridCol w:w="4819"/>
        <w:gridCol w:w="4819"/>
      </w:tblGrid>
      <w:tr w:rsidR="00DA3F8E" w14:paraId="1CE7AD1F" w14:textId="77777777" w:rsidTr="00DA3F8E">
        <w:trPr>
          <w:cnfStyle w:val="100000000000" w:firstRow="1" w:lastRow="0" w:firstColumn="0" w:lastColumn="0" w:oddVBand="0" w:evenVBand="0" w:oddHBand="0" w:evenHBand="0" w:firstRowFirstColumn="0" w:firstRowLastColumn="0" w:lastRowFirstColumn="0" w:lastRowLastColumn="0"/>
        </w:trPr>
        <w:tc>
          <w:tcPr>
            <w:tcW w:w="2500" w:type="pct"/>
          </w:tcPr>
          <w:p w14:paraId="1CE7AD1D" w14:textId="77777777" w:rsidR="00DA3F8E" w:rsidRDefault="007B012A">
            <w:r>
              <w:t>Vsebina:</w:t>
            </w:r>
          </w:p>
        </w:tc>
        <w:tc>
          <w:tcPr>
            <w:tcW w:w="2500" w:type="pct"/>
          </w:tcPr>
          <w:p w14:paraId="1CE7AD1E" w14:textId="77777777" w:rsidR="00DA3F8E" w:rsidRDefault="007B012A">
            <w:r>
              <w:t>Content (Syllabus outline):</w:t>
            </w:r>
          </w:p>
        </w:tc>
      </w:tr>
      <w:tr w:rsidR="00DA3F8E" w14:paraId="1CE7AD36" w14:textId="77777777">
        <w:tc>
          <w:tcPr>
            <w:tcW w:w="0" w:type="auto"/>
          </w:tcPr>
          <w:p w14:paraId="1CE7AD20" w14:textId="77777777" w:rsidR="00DA3F8E" w:rsidRDefault="007B012A">
            <w:r>
              <w:t>Vsebina predmeta:</w:t>
            </w:r>
          </w:p>
          <w:p w14:paraId="1CE7AD21" w14:textId="77777777" w:rsidR="00DA3F8E" w:rsidRDefault="007B012A">
            <w:r>
              <w:t>1. Struktura izvršilne oblasti v EU</w:t>
            </w:r>
          </w:p>
          <w:p w14:paraId="1CE7AD22" w14:textId="77777777" w:rsidR="00DA3F8E" w:rsidRDefault="007B012A">
            <w:r>
              <w:t>2. Upravno izvrševanje evropskega prava</w:t>
            </w:r>
          </w:p>
          <w:p w14:paraId="1CE7AD23" w14:textId="77777777" w:rsidR="00DA3F8E" w:rsidRDefault="007B012A">
            <w:r>
              <w:t>3. Evropski upravni prostor</w:t>
            </w:r>
          </w:p>
          <w:p w14:paraId="1CE7AD24" w14:textId="77777777" w:rsidR="00DA3F8E" w:rsidRDefault="007B012A">
            <w:r>
              <w:lastRenderedPageBreak/>
              <w:t>4. Splošna načela in pravila evropskega upravnega prava</w:t>
            </w:r>
          </w:p>
          <w:p w14:paraId="1CE7AD25" w14:textId="77777777" w:rsidR="00DA3F8E" w:rsidRDefault="007B012A">
            <w:r>
              <w:t>5. Splošna pravila postopka pri upravnem odločanju</w:t>
            </w:r>
          </w:p>
          <w:p w14:paraId="1CE7AD26" w14:textId="77777777" w:rsidR="00DA3F8E" w:rsidRDefault="007B012A">
            <w:r>
              <w:t>6. Izbrana poglavja iz evropskega materialnega upravnega prava</w:t>
            </w:r>
          </w:p>
          <w:p w14:paraId="1CE7AD27" w14:textId="77777777" w:rsidR="00DA3F8E" w:rsidRDefault="007B012A">
            <w:r>
              <w:t>Pravosodje in notranje zadeve</w:t>
            </w:r>
          </w:p>
          <w:p w14:paraId="1CE7AD28" w14:textId="77777777" w:rsidR="00DA3F8E" w:rsidRDefault="007B012A">
            <w:r>
              <w:t>Javna službe v pravu EU</w:t>
            </w:r>
          </w:p>
          <w:p w14:paraId="1CE7AD29" w14:textId="77777777" w:rsidR="00DA3F8E" w:rsidRDefault="007B012A">
            <w:r>
              <w:t>Izbrani primeri sektorske zakonodaje: pošta, energetika, telekomunikacije, promet.</w:t>
            </w:r>
          </w:p>
          <w:p w14:paraId="1CE7AD2A" w14:textId="77777777" w:rsidR="00DA3F8E" w:rsidRDefault="007B012A">
            <w:r>
              <w:t>7. Regionalni razvoj: kohezijski in stukturni skladi.</w:t>
            </w:r>
          </w:p>
        </w:tc>
        <w:tc>
          <w:tcPr>
            <w:tcW w:w="0" w:type="auto"/>
          </w:tcPr>
          <w:p w14:paraId="1CE7AD2B" w14:textId="77777777" w:rsidR="00DA3F8E" w:rsidRDefault="007B012A">
            <w:r>
              <w:lastRenderedPageBreak/>
              <w:t>Course outline:</w:t>
            </w:r>
          </w:p>
          <w:p w14:paraId="1CE7AD2C" w14:textId="77777777" w:rsidR="00DA3F8E" w:rsidRDefault="007B012A">
            <w:r>
              <w:t>1. Structure of the EU executive</w:t>
            </w:r>
          </w:p>
          <w:p w14:paraId="1CE7AD2D" w14:textId="77777777" w:rsidR="00DA3F8E" w:rsidRDefault="007B012A">
            <w:r>
              <w:t>2. Administrative implementation of EU law</w:t>
            </w:r>
          </w:p>
          <w:p w14:paraId="1CE7AD2E" w14:textId="77777777" w:rsidR="00DA3F8E" w:rsidRDefault="007B012A">
            <w:r>
              <w:t>3. European administrative space</w:t>
            </w:r>
          </w:p>
          <w:p w14:paraId="1CE7AD2F" w14:textId="77777777" w:rsidR="00DA3F8E" w:rsidRDefault="007B012A">
            <w:r>
              <w:t>4. General principles of EU administrative law</w:t>
            </w:r>
          </w:p>
          <w:p w14:paraId="1CE7AD30" w14:textId="77777777" w:rsidR="00DA3F8E" w:rsidRDefault="007B012A">
            <w:r>
              <w:lastRenderedPageBreak/>
              <w:t>5. General rules of EU administrative procedure</w:t>
            </w:r>
          </w:p>
          <w:p w14:paraId="1CE7AD31" w14:textId="77777777" w:rsidR="00DA3F8E" w:rsidRDefault="007B012A">
            <w:r>
              <w:t>6. Selected topics from EU material administrative law</w:t>
            </w:r>
          </w:p>
          <w:p w14:paraId="1CE7AD32" w14:textId="77777777" w:rsidR="00DA3F8E" w:rsidRDefault="007B012A">
            <w:r>
              <w:t>-justice and home affairs</w:t>
            </w:r>
          </w:p>
          <w:p w14:paraId="1CE7AD33" w14:textId="77777777" w:rsidR="00DA3F8E" w:rsidRDefault="007B012A">
            <w:r>
              <w:t>-public services in the EU law</w:t>
            </w:r>
          </w:p>
          <w:p w14:paraId="1CE7AD34" w14:textId="77777777" w:rsidR="00DA3F8E" w:rsidRDefault="007B012A">
            <w:r>
              <w:t>-selected cases of sectoral legislation: postal services, energy law, electronic communications, transport.</w:t>
            </w:r>
          </w:p>
          <w:p w14:paraId="1CE7AD35" w14:textId="77777777" w:rsidR="00DA3F8E" w:rsidRDefault="007B012A">
            <w:r>
              <w:t>7. Regional development: structural and cohesion funds.</w:t>
            </w:r>
          </w:p>
        </w:tc>
      </w:tr>
    </w:tbl>
    <w:p w14:paraId="1CE7AD37" w14:textId="77777777" w:rsidR="00DA3F8E" w:rsidRDefault="00DA3F8E"/>
    <w:tbl>
      <w:tblPr>
        <w:tblStyle w:val="DefaultTable"/>
        <w:tblW w:w="5000" w:type="pct"/>
        <w:tblLook w:val="04A0" w:firstRow="1" w:lastRow="0" w:firstColumn="1" w:lastColumn="0" w:noHBand="0" w:noVBand="1"/>
      </w:tblPr>
      <w:tblGrid>
        <w:gridCol w:w="9638"/>
      </w:tblGrid>
      <w:tr w:rsidR="00DA3F8E" w14:paraId="1CE7AD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CE7AD38" w14:textId="200A36CB" w:rsidR="00DA3F8E" w:rsidRDefault="00DA3F8E"/>
        </w:tc>
      </w:tr>
      <w:tr w:rsidR="00DA3F8E" w14:paraId="1CE7AD40" w14:textId="77777777">
        <w:tc>
          <w:tcPr>
            <w:tcW w:w="0" w:type="auto"/>
          </w:tcPr>
          <w:p w14:paraId="4B3EC7DC" w14:textId="42E4C397" w:rsidR="007B012A" w:rsidRDefault="007B012A">
            <w:r>
              <w:t>Temeljna literatura in viri/Readings:</w:t>
            </w:r>
          </w:p>
          <w:p w14:paraId="1CE7AD3A" w14:textId="30F2B504" w:rsidR="00DA3F8E" w:rsidRDefault="007B012A">
            <w:r>
              <w:t>-  Craig Paul, European Administrative Law, Oxford 2018;</w:t>
            </w:r>
          </w:p>
          <w:p w14:paraId="5BFE2377" w14:textId="02428549" w:rsidR="007B012A" w:rsidRDefault="007B012A">
            <w:r>
              <w:t>- Craig Paul, Deburca Grainne, EU Law: texts, cases, materials, Oxford 2015;</w:t>
            </w:r>
          </w:p>
          <w:p w14:paraId="1CE7AD3C" w14:textId="4CFFE6E9" w:rsidR="00DA3F8E" w:rsidRDefault="007B012A">
            <w:r>
              <w:t>- Schwarze Jürgen, European Administrative Law, Luxembourg, London 2010;</w:t>
            </w:r>
          </w:p>
          <w:p w14:paraId="104A44A1" w14:textId="0C377FA7" w:rsidR="007B012A" w:rsidRDefault="007B012A"/>
          <w:p w14:paraId="4828CEC2" w14:textId="1335E5AC" w:rsidR="007B012A" w:rsidRDefault="007B012A">
            <w:r>
              <w:t>Priporočena literatura in viri /Readings:</w:t>
            </w:r>
          </w:p>
          <w:p w14:paraId="1CE7AD3D" w14:textId="77777777" w:rsidR="00DA3F8E" w:rsidRDefault="007B012A">
            <w:r>
              <w:t>- Galetta Diana-Urania, Procedural Autonomy of EU Member States: Paradise Lost? A Study on the "Functionalized Procedural Competence" of EU Member States, Berlin, Heidelberg 2011;</w:t>
            </w:r>
          </w:p>
          <w:p w14:paraId="1CE7AD3E" w14:textId="77777777" w:rsidR="00DA3F8E" w:rsidRDefault="007B012A">
            <w:r>
              <w:t>- Hartley Trevor, The Foundations of European Community Law: An Introduction to the Constitutional and Administrative Law of the European Community, Oxford, New York 2007.</w:t>
            </w:r>
          </w:p>
          <w:p w14:paraId="1CE7AD3F" w14:textId="77777777" w:rsidR="00DA3F8E" w:rsidRDefault="007B012A">
            <w:r>
              <w:t> </w:t>
            </w:r>
          </w:p>
        </w:tc>
      </w:tr>
    </w:tbl>
    <w:p w14:paraId="1CE7AD41" w14:textId="77777777" w:rsidR="00DA3F8E" w:rsidRDefault="00DA3F8E"/>
    <w:tbl>
      <w:tblPr>
        <w:tblStyle w:val="DefaultTable"/>
        <w:tblW w:w="5000" w:type="pct"/>
        <w:tblLook w:val="04A0" w:firstRow="1" w:lastRow="0" w:firstColumn="1" w:lastColumn="0" w:noHBand="0" w:noVBand="1"/>
      </w:tblPr>
      <w:tblGrid>
        <w:gridCol w:w="4819"/>
        <w:gridCol w:w="4819"/>
      </w:tblGrid>
      <w:tr w:rsidR="00DA3F8E" w14:paraId="1CE7AD44" w14:textId="77777777" w:rsidTr="00DA3F8E">
        <w:trPr>
          <w:cnfStyle w:val="100000000000" w:firstRow="1" w:lastRow="0" w:firstColumn="0" w:lastColumn="0" w:oddVBand="0" w:evenVBand="0" w:oddHBand="0" w:evenHBand="0" w:firstRowFirstColumn="0" w:firstRowLastColumn="0" w:lastRowFirstColumn="0" w:lastRowLastColumn="0"/>
        </w:trPr>
        <w:tc>
          <w:tcPr>
            <w:tcW w:w="2500" w:type="pct"/>
          </w:tcPr>
          <w:p w14:paraId="1CE7AD42" w14:textId="77777777" w:rsidR="00DA3F8E" w:rsidRDefault="007B012A">
            <w:r>
              <w:t>Cilji in kompetence:</w:t>
            </w:r>
          </w:p>
        </w:tc>
        <w:tc>
          <w:tcPr>
            <w:tcW w:w="2500" w:type="pct"/>
          </w:tcPr>
          <w:p w14:paraId="1CE7AD43" w14:textId="77777777" w:rsidR="00DA3F8E" w:rsidRDefault="007B012A">
            <w:r>
              <w:t>Objectives and competences:</w:t>
            </w:r>
          </w:p>
        </w:tc>
      </w:tr>
      <w:tr w:rsidR="00DA3F8E" w14:paraId="1CE7AD47" w14:textId="77777777">
        <w:tc>
          <w:tcPr>
            <w:tcW w:w="0" w:type="auto"/>
          </w:tcPr>
          <w:p w14:paraId="1CE7AD45" w14:textId="77777777" w:rsidR="00DA3F8E" w:rsidRDefault="007B012A">
            <w:r>
              <w:t>Cilj predmeta je pridobitev poglobljenih in zahtevnejših pravnih znanj na področju evropskega upravnega prava. Študent pridobi sposobnost znanstvene analize problemov z navedenih pravnih področij, vrednotenja različnih teoretičnih stališč, poglobljene analitične interpretacije odločitev sodišč in drugih nadzornih organov ter pisnega oblikovanja zahtevnejše argumentacije.</w:t>
            </w:r>
          </w:p>
        </w:tc>
        <w:tc>
          <w:tcPr>
            <w:tcW w:w="0" w:type="auto"/>
          </w:tcPr>
          <w:p w14:paraId="1CE7AD46" w14:textId="77777777" w:rsidR="00DA3F8E" w:rsidRDefault="007B012A">
            <w:r>
              <w:t>Main objective of the course is in-depth study of selected topics of European administrative law. Student aquires competences of scientific analysis of problems, debating and understanding of various theoretical standpoints, use of comparative law method, critical analysis of judicial case law and written skills of presenting complex legal issues.</w:t>
            </w:r>
          </w:p>
        </w:tc>
      </w:tr>
    </w:tbl>
    <w:p w14:paraId="1CE7AD48" w14:textId="77777777" w:rsidR="00DA3F8E" w:rsidRDefault="00DA3F8E"/>
    <w:tbl>
      <w:tblPr>
        <w:tblStyle w:val="DefaultTable"/>
        <w:tblW w:w="5000" w:type="pct"/>
        <w:tblLook w:val="04A0" w:firstRow="1" w:lastRow="0" w:firstColumn="1" w:lastColumn="0" w:noHBand="0" w:noVBand="1"/>
      </w:tblPr>
      <w:tblGrid>
        <w:gridCol w:w="4819"/>
        <w:gridCol w:w="4819"/>
      </w:tblGrid>
      <w:tr w:rsidR="00DA3F8E" w14:paraId="1CE7AD4B" w14:textId="77777777" w:rsidTr="00DA3F8E">
        <w:trPr>
          <w:cnfStyle w:val="100000000000" w:firstRow="1" w:lastRow="0" w:firstColumn="0" w:lastColumn="0" w:oddVBand="0" w:evenVBand="0" w:oddHBand="0" w:evenHBand="0" w:firstRowFirstColumn="0" w:firstRowLastColumn="0" w:lastRowFirstColumn="0" w:lastRowLastColumn="0"/>
        </w:trPr>
        <w:tc>
          <w:tcPr>
            <w:tcW w:w="2500" w:type="pct"/>
          </w:tcPr>
          <w:p w14:paraId="1CE7AD49" w14:textId="77777777" w:rsidR="00DA3F8E" w:rsidRDefault="007B012A">
            <w:r>
              <w:t>Predvideni študijski rezultati:</w:t>
            </w:r>
          </w:p>
        </w:tc>
        <w:tc>
          <w:tcPr>
            <w:tcW w:w="2500" w:type="pct"/>
          </w:tcPr>
          <w:p w14:paraId="1CE7AD4A" w14:textId="77777777" w:rsidR="00DA3F8E" w:rsidRDefault="007B012A">
            <w:r>
              <w:t>Intended learning outcomes:</w:t>
            </w:r>
          </w:p>
        </w:tc>
      </w:tr>
      <w:tr w:rsidR="00DA3F8E" w14:paraId="1CE7AD52" w14:textId="77777777">
        <w:tc>
          <w:tcPr>
            <w:tcW w:w="0" w:type="auto"/>
          </w:tcPr>
          <w:p w14:paraId="1CE7AD4C" w14:textId="77777777" w:rsidR="00DA3F8E" w:rsidRDefault="007B012A">
            <w:r>
              <w:t>Študent je usposobljen za analitično obravnavo zahtevnih problemov iz področja prava javneuprave.</w:t>
            </w:r>
          </w:p>
          <w:p w14:paraId="1CE7AD4D" w14:textId="77777777" w:rsidR="00DA3F8E" w:rsidRDefault="007B012A">
            <w:r>
              <w:t>Znanje in razumevanje:</w:t>
            </w:r>
          </w:p>
          <w:p w14:paraId="1CE7AD4E" w14:textId="77777777" w:rsidR="00DA3F8E" w:rsidRDefault="007B012A">
            <w:r>
              <w:t>Študent pridobi znanje in razumevanje kompleksnih pravnih vprašanj in primerov iz obravnavanih tem.</w:t>
            </w:r>
          </w:p>
        </w:tc>
        <w:tc>
          <w:tcPr>
            <w:tcW w:w="0" w:type="auto"/>
          </w:tcPr>
          <w:p w14:paraId="1CE7AD4F" w14:textId="77777777" w:rsidR="00DA3F8E" w:rsidRDefault="007B012A">
            <w:r>
              <w:t>Student achieves ability for analytical examination of complex issues from public administration law.</w:t>
            </w:r>
          </w:p>
          <w:p w14:paraId="1CE7AD50" w14:textId="77777777" w:rsidR="00DA3F8E" w:rsidRDefault="007B012A">
            <w:r>
              <w:t>Knowledge and understanding:</w:t>
            </w:r>
          </w:p>
          <w:p w14:paraId="1CE7AD51" w14:textId="77777777" w:rsidR="00DA3F8E" w:rsidRDefault="007B012A">
            <w:r>
              <w:t>Student aquires knowledge and understanding of complex legal issues and cases from selected topics of public administration.</w:t>
            </w:r>
          </w:p>
        </w:tc>
      </w:tr>
    </w:tbl>
    <w:p w14:paraId="1CE7AD53" w14:textId="77777777" w:rsidR="00DA3F8E" w:rsidRDefault="00DA3F8E"/>
    <w:tbl>
      <w:tblPr>
        <w:tblStyle w:val="DefaultTable"/>
        <w:tblW w:w="5000" w:type="pct"/>
        <w:tblLook w:val="04A0" w:firstRow="1" w:lastRow="0" w:firstColumn="1" w:lastColumn="0" w:noHBand="0" w:noVBand="1"/>
      </w:tblPr>
      <w:tblGrid>
        <w:gridCol w:w="4819"/>
        <w:gridCol w:w="4819"/>
      </w:tblGrid>
      <w:tr w:rsidR="00DA3F8E" w14:paraId="1CE7AD56" w14:textId="77777777" w:rsidTr="00DA3F8E">
        <w:trPr>
          <w:cnfStyle w:val="100000000000" w:firstRow="1" w:lastRow="0" w:firstColumn="0" w:lastColumn="0" w:oddVBand="0" w:evenVBand="0" w:oddHBand="0" w:evenHBand="0" w:firstRowFirstColumn="0" w:firstRowLastColumn="0" w:lastRowFirstColumn="0" w:lastRowLastColumn="0"/>
        </w:trPr>
        <w:tc>
          <w:tcPr>
            <w:tcW w:w="2500" w:type="pct"/>
          </w:tcPr>
          <w:p w14:paraId="1CE7AD54" w14:textId="77777777" w:rsidR="00DA3F8E" w:rsidRDefault="007B012A">
            <w:r>
              <w:t>Metode poučevanja in učenja:</w:t>
            </w:r>
          </w:p>
        </w:tc>
        <w:tc>
          <w:tcPr>
            <w:tcW w:w="2500" w:type="pct"/>
          </w:tcPr>
          <w:p w14:paraId="1CE7AD55" w14:textId="77777777" w:rsidR="00DA3F8E" w:rsidRDefault="007B012A">
            <w:r>
              <w:t>Learning and teaching methods:</w:t>
            </w:r>
          </w:p>
        </w:tc>
      </w:tr>
      <w:tr w:rsidR="00DA3F8E" w14:paraId="1CE7AD5F" w14:textId="77777777">
        <w:tc>
          <w:tcPr>
            <w:tcW w:w="0" w:type="auto"/>
          </w:tcPr>
          <w:p w14:paraId="1CE7AD57" w14:textId="77777777" w:rsidR="00DA3F8E" w:rsidRDefault="007B012A">
            <w:r>
              <w:t>Predavanja – predavajo se izbrane teme, ki se določijo posebej glede na razvoj teorije, zakonodaje in sodne prakse.</w:t>
            </w:r>
          </w:p>
          <w:p w14:paraId="1CE7AD58" w14:textId="77777777" w:rsidR="00DA3F8E" w:rsidRDefault="007B012A">
            <w:r>
              <w:t>Seminarske vaje – na seminarskih vajah študentje predstavijo vsebino seminarske naloge</w:t>
            </w:r>
          </w:p>
          <w:p w14:paraId="1CE7AD59" w14:textId="77777777" w:rsidR="00DA3F8E" w:rsidRDefault="007B012A">
            <w:r>
              <w:t>Drugo – izdelava seminarske naloge, ki obravnava zahtevnejši pravni problem z navedenih področij.</w:t>
            </w:r>
          </w:p>
          <w:p w14:paraId="1CE7AD5A" w14:textId="77777777" w:rsidR="00DA3F8E" w:rsidRDefault="007B012A">
            <w:r>
              <w:t>Individualni študij za izpit.</w:t>
            </w:r>
          </w:p>
        </w:tc>
        <w:tc>
          <w:tcPr>
            <w:tcW w:w="0" w:type="auto"/>
          </w:tcPr>
          <w:p w14:paraId="1CE7AD5B" w14:textId="77777777" w:rsidR="00DA3F8E" w:rsidRDefault="007B012A">
            <w:r>
              <w:t>Lectures: selected topics are presented in the class, according to recent developments on theory, legislation and judicial case law.</w:t>
            </w:r>
          </w:p>
          <w:p w14:paraId="1CE7AD5C" w14:textId="77777777" w:rsidR="00DA3F8E" w:rsidRDefault="007B012A">
            <w:r>
              <w:t>Seminars: seminars are used for students's presentations of their seminar work.</w:t>
            </w:r>
          </w:p>
          <w:p w14:paraId="1CE7AD5D" w14:textId="77777777" w:rsidR="00DA3F8E" w:rsidRDefault="007B012A">
            <w:r>
              <w:t>Others: preparation of seminar paper dealing with a complext legal issue from selected areas.</w:t>
            </w:r>
          </w:p>
          <w:p w14:paraId="1CE7AD5E" w14:textId="77777777" w:rsidR="00DA3F8E" w:rsidRDefault="007B012A">
            <w:r>
              <w:t>Individual study for the exam.</w:t>
            </w:r>
          </w:p>
        </w:tc>
      </w:tr>
    </w:tbl>
    <w:p w14:paraId="1CE7AD60" w14:textId="77777777" w:rsidR="00DA3F8E" w:rsidRDefault="00DA3F8E"/>
    <w:tbl>
      <w:tblPr>
        <w:tblStyle w:val="DefaultTable"/>
        <w:tblW w:w="5000" w:type="pct"/>
        <w:tblLook w:val="04A0" w:firstRow="1" w:lastRow="0" w:firstColumn="1" w:lastColumn="0" w:noHBand="0" w:noVBand="1"/>
      </w:tblPr>
      <w:tblGrid>
        <w:gridCol w:w="4045"/>
        <w:gridCol w:w="1548"/>
        <w:gridCol w:w="4045"/>
      </w:tblGrid>
      <w:tr w:rsidR="00DA3F8E" w14:paraId="1CE7AD64" w14:textId="77777777" w:rsidTr="00DA3F8E">
        <w:trPr>
          <w:cnfStyle w:val="100000000000" w:firstRow="1" w:lastRow="0" w:firstColumn="0" w:lastColumn="0" w:oddVBand="0" w:evenVBand="0" w:oddHBand="0" w:evenHBand="0" w:firstRowFirstColumn="0" w:firstRowLastColumn="0" w:lastRowFirstColumn="0" w:lastRowLastColumn="0"/>
        </w:trPr>
        <w:tc>
          <w:tcPr>
            <w:tcW w:w="2200" w:type="pct"/>
          </w:tcPr>
          <w:p w14:paraId="1CE7AD61" w14:textId="77777777" w:rsidR="00DA3F8E" w:rsidRDefault="007B012A">
            <w:r>
              <w:t>Načini ocenjevanja:</w:t>
            </w:r>
          </w:p>
        </w:tc>
        <w:tc>
          <w:tcPr>
            <w:tcW w:w="600" w:type="pct"/>
          </w:tcPr>
          <w:p w14:paraId="1CE7AD62" w14:textId="77777777" w:rsidR="00DA3F8E" w:rsidRDefault="007B012A">
            <w:pPr>
              <w:keepNext/>
              <w:jc w:val="center"/>
            </w:pPr>
            <w:r>
              <w:t>Delež/Weight</w:t>
            </w:r>
          </w:p>
        </w:tc>
        <w:tc>
          <w:tcPr>
            <w:tcW w:w="2200" w:type="pct"/>
          </w:tcPr>
          <w:p w14:paraId="1CE7AD63" w14:textId="77777777" w:rsidR="00DA3F8E" w:rsidRDefault="007B012A">
            <w:r>
              <w:t>Assessment:</w:t>
            </w:r>
          </w:p>
        </w:tc>
      </w:tr>
      <w:tr w:rsidR="00DA3F8E" w14:paraId="1CE7AD68" w14:textId="77777777">
        <w:tc>
          <w:tcPr>
            <w:tcW w:w="0" w:type="auto"/>
          </w:tcPr>
          <w:p w14:paraId="1CE7AD65" w14:textId="77777777" w:rsidR="00DA3F8E" w:rsidRDefault="007B012A">
            <w:r>
              <w:t xml:space="preserve">Način (pisni izpit, ustno izpraševanje, naloge, projekt): Ustni izpit. Za pristop k </w:t>
            </w:r>
            <w:r>
              <w:lastRenderedPageBreak/>
              <w:t>izpitu se zahteva uspešno izdelana in predstavljena seminarska naloga. Predstavitev se lahko opravi na seminarskih vajah ali pred učiteljem ocenjevalcem.</w:t>
            </w:r>
          </w:p>
        </w:tc>
        <w:tc>
          <w:tcPr>
            <w:tcW w:w="0" w:type="auto"/>
          </w:tcPr>
          <w:p w14:paraId="1CE7AD66" w14:textId="77777777" w:rsidR="00DA3F8E" w:rsidRDefault="007B012A">
            <w:pPr>
              <w:keepNext/>
              <w:jc w:val="center"/>
            </w:pPr>
            <w:r>
              <w:lastRenderedPageBreak/>
              <w:t>100,00 %</w:t>
            </w:r>
          </w:p>
        </w:tc>
        <w:tc>
          <w:tcPr>
            <w:tcW w:w="0" w:type="auto"/>
          </w:tcPr>
          <w:p w14:paraId="1CE7AD67" w14:textId="77777777" w:rsidR="00DA3F8E" w:rsidRDefault="007B012A">
            <w:r>
              <w:t xml:space="preserve">Type (examination, oral, coursework, project): Oral exam. A seminar paper is </w:t>
            </w:r>
            <w:r>
              <w:lastRenderedPageBreak/>
              <w:t>required before exam. Paper has to be presented during seminar or in professor's office.</w:t>
            </w:r>
          </w:p>
        </w:tc>
      </w:tr>
    </w:tbl>
    <w:p w14:paraId="1CE7AD69" w14:textId="77777777" w:rsidR="00DA3F8E" w:rsidRDefault="00DA3F8E"/>
    <w:tbl>
      <w:tblPr>
        <w:tblStyle w:val="DefaultTable"/>
        <w:tblW w:w="5000" w:type="pct"/>
        <w:tblLook w:val="04A0" w:firstRow="1" w:lastRow="0" w:firstColumn="1" w:lastColumn="0" w:noHBand="0" w:noVBand="1"/>
      </w:tblPr>
      <w:tblGrid>
        <w:gridCol w:w="9638"/>
      </w:tblGrid>
      <w:tr w:rsidR="00DA3F8E" w14:paraId="1CE7AD6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CE7AD6A" w14:textId="77777777" w:rsidR="00DA3F8E" w:rsidRDefault="007B012A">
            <w:r>
              <w:t>Reference nosilca/Lecturer's references:</w:t>
            </w:r>
          </w:p>
        </w:tc>
      </w:tr>
      <w:tr w:rsidR="00DA3F8E" w14:paraId="1CE7AD7D" w14:textId="77777777">
        <w:tc>
          <w:tcPr>
            <w:tcW w:w="0" w:type="auto"/>
          </w:tcPr>
          <w:p w14:paraId="1CE7AD6C" w14:textId="77777777" w:rsidR="00DA3F8E" w:rsidRDefault="007B012A">
            <w:r>
              <w:t xml:space="preserve">1. ŽUBER, Bruna. Samostojnost pri odločanju : 12. člen. V: KOVAČ, Polonca (ur.), et al. </w:t>
            </w:r>
            <w:r>
              <w:rPr>
                <w:i/>
              </w:rPr>
              <w:t>Komentar Zakona o splošnem upravnem postopku (ZUP)</w:t>
            </w:r>
            <w:r>
              <w:t xml:space="preserve">, (Zbirka predpisov). 1. natis. Ljubljana: Uradni list Republike Slovenije: Pravna fakulteta Univerze. 2020, knj. 1, str. 157-163. [COBISS.SI-ID </w:t>
            </w:r>
            <w:hyperlink r:id="rId5" w:history="1">
              <w:r>
                <w:rPr>
                  <w:rStyle w:val="Hyperlink"/>
                </w:rPr>
                <w:t>46913283</w:t>
              </w:r>
            </w:hyperlink>
            <w:r>
              <w:t>]</w:t>
            </w:r>
          </w:p>
          <w:p w14:paraId="1CE7AD6D" w14:textId="77777777" w:rsidR="00DA3F8E" w:rsidRDefault="007B012A">
            <w:r>
              <w:t xml:space="preserve">2. ŽUBER, Bruna. Začasni zastopnik : 51. člen. V: KOVAČ, Polonca (ur.), et al. </w:t>
            </w:r>
            <w:r>
              <w:rPr>
                <w:i/>
              </w:rPr>
              <w:t>Komentar Zakona o splošnem upravnem postopku (ZUP)</w:t>
            </w:r>
            <w:r>
              <w:t xml:space="preserve">, (Zbirka predpisov). 1. natis. Ljubljana: Uradni list Republike Slovenije: Pravna fakulteta Univerze. 2020, knj. 1, str. 365-371. [COBISS.SI-ID </w:t>
            </w:r>
            <w:hyperlink r:id="rId6" w:history="1">
              <w:r>
                <w:rPr>
                  <w:rStyle w:val="Hyperlink"/>
                </w:rPr>
                <w:t>47001091</w:t>
              </w:r>
            </w:hyperlink>
            <w:r>
              <w:t>]</w:t>
            </w:r>
          </w:p>
          <w:p w14:paraId="1CE7AD6E" w14:textId="77777777" w:rsidR="00DA3F8E" w:rsidRDefault="007B012A">
            <w:r>
              <w:t xml:space="preserve">3. ŽUBER, Bruna. Skupni predstavnik : 52. člen. V: KOVAČ, Polonca (ur.), et al. </w:t>
            </w:r>
            <w:r>
              <w:rPr>
                <w:i/>
              </w:rPr>
              <w:t>Komentar Zakona o splošnem upravnem postopku (ZUP)</w:t>
            </w:r>
            <w:r>
              <w:t xml:space="preserve">, (Zbirka predpisov). 1. natis. Ljubljana: Uradni list Republike Slovenije: Pravna fakulteta Univerze. 2020, knj. 1, str. 372-375. [COBISS.SI-ID </w:t>
            </w:r>
            <w:hyperlink r:id="rId7" w:history="1">
              <w:r>
                <w:rPr>
                  <w:rStyle w:val="Hyperlink"/>
                </w:rPr>
                <w:t>47001603</w:t>
              </w:r>
            </w:hyperlink>
            <w:r>
              <w:t>]</w:t>
            </w:r>
          </w:p>
          <w:p w14:paraId="1CE7AD6F" w14:textId="77777777" w:rsidR="00DA3F8E" w:rsidRDefault="007B012A">
            <w:r>
              <w:t xml:space="preserve">4. ŽUBER, Bruna. Pooblaščenec : 53. - 61. člen. V: KOVAČ, Polonca (ur.), et al. </w:t>
            </w:r>
            <w:r>
              <w:rPr>
                <w:i/>
              </w:rPr>
              <w:t>Komentar Zakona o splošnem upravnem postopku (ZUP)</w:t>
            </w:r>
            <w:r>
              <w:t xml:space="preserve">, (Zbirka predpisov). 1. natis. Ljubljana: Uradni list Republike Slovenije: Pravna fakulteta Univerze. 2020, knj. 1, str. 376-403. [COBISS.SI-ID </w:t>
            </w:r>
            <w:hyperlink r:id="rId8" w:history="1">
              <w:r>
                <w:rPr>
                  <w:rStyle w:val="Hyperlink"/>
                </w:rPr>
                <w:t>47003139</w:t>
              </w:r>
            </w:hyperlink>
            <w:r>
              <w:t>]</w:t>
            </w:r>
          </w:p>
          <w:p w14:paraId="1CE7AD70" w14:textId="77777777" w:rsidR="00DA3F8E" w:rsidRDefault="007B012A">
            <w:r>
              <w:t xml:space="preserve">5. KOVAČ, Polonca, ŽUBER, Bruna, ,. Kateri organ izda odločbo : 207. - 209. člen. V: KOVAČ, Polonca (ur.), et al. </w:t>
            </w:r>
            <w:r>
              <w:rPr>
                <w:i/>
              </w:rPr>
              <w:t>Komentar Zakona o splošnem upravnem postopku (ZUP)</w:t>
            </w:r>
            <w:r>
              <w:t xml:space="preserve">, (Zbirka predpisov). 1. natis. Ljubljana: Uradni list Republike Slovenije: Pravna fakulteta Univerze. 2020, knj. 2, str. 390-416. [COBISS.SI-ID </w:t>
            </w:r>
            <w:hyperlink r:id="rId9" w:history="1">
              <w:r>
                <w:rPr>
                  <w:rStyle w:val="Hyperlink"/>
                </w:rPr>
                <w:t>48095235</w:t>
              </w:r>
            </w:hyperlink>
            <w:r>
              <w:t>]</w:t>
            </w:r>
          </w:p>
          <w:p w14:paraId="1CE7AD71" w14:textId="77777777" w:rsidR="00DA3F8E" w:rsidRDefault="007B012A">
            <w:r>
              <w:t xml:space="preserve">6. KOVAČ, Polonca, ŽUBER, Bruna. Oblika, način izdaje in sestavni deli odločbe : 210. - 218. člen. V: KOVAČ, Polonca (ur.), et al. </w:t>
            </w:r>
            <w:r>
              <w:rPr>
                <w:i/>
              </w:rPr>
              <w:t>Komentar Zakona o splošnem upravnem postopku (ZUP)</w:t>
            </w:r>
            <w:r>
              <w:t xml:space="preserve">, (Zbirka predpisov). 1. natis. Ljubljana: Uradni list Republike Slovenije: Pravna fakulteta Univerze. 2020, knj. 2, str. 417-465, tabele. [COBISS.SI-ID </w:t>
            </w:r>
            <w:hyperlink r:id="rId10" w:history="1">
              <w:r>
                <w:rPr>
                  <w:rStyle w:val="Hyperlink"/>
                </w:rPr>
                <w:t>48108035</w:t>
              </w:r>
            </w:hyperlink>
            <w:r>
              <w:t>]</w:t>
            </w:r>
          </w:p>
          <w:p w14:paraId="1CE7AD72" w14:textId="77777777" w:rsidR="00DA3F8E" w:rsidRDefault="007B012A">
            <w:r>
              <w:t xml:space="preserve">7. ŽUBER, Bruna. Delna, dopolnilna in začasna odločba : 219. - 221. člen. V: KOVAČ, Polonca (ur.), et al. </w:t>
            </w:r>
            <w:r>
              <w:rPr>
                <w:i/>
              </w:rPr>
              <w:t>Komentar Zakona o splošnem upravnem postopku (ZUP)</w:t>
            </w:r>
            <w:r>
              <w:t xml:space="preserve">, (Zbirka predpisov). 1. natis. Ljubljana: Uradni list Republike Slovenije: Pravna fakulteta Univerze. 2020, knj. 2, str. 466-481. [COBISS.SI-ID </w:t>
            </w:r>
            <w:hyperlink r:id="rId11" w:history="1">
              <w:r>
                <w:rPr>
                  <w:rStyle w:val="Hyperlink"/>
                </w:rPr>
                <w:t>48114179</w:t>
              </w:r>
            </w:hyperlink>
            <w:r>
              <w:t>]</w:t>
            </w:r>
          </w:p>
          <w:p w14:paraId="1CE7AD73" w14:textId="77777777" w:rsidR="00DA3F8E" w:rsidRDefault="007B012A">
            <w:r>
              <w:t xml:space="preserve">8. ŽUBER, Bruna. Rok za odločbo : 222. člen. V: KOVAČ, Polonca (ur.), et al. </w:t>
            </w:r>
            <w:r>
              <w:rPr>
                <w:i/>
              </w:rPr>
              <w:t>Komentar Zakona o splošnem upravnem postopku (ZUP)</w:t>
            </w:r>
            <w:r>
              <w:t xml:space="preserve">, (Zbirka predpisov). 1. natis. Ljubljana: Uradni list Republike Slovenije: Pravna fakulteta Univerze. 2020, knj. 2, str. 482-495. [COBISS.SI-ID </w:t>
            </w:r>
            <w:hyperlink r:id="rId12" w:history="1">
              <w:r>
                <w:rPr>
                  <w:rStyle w:val="Hyperlink"/>
                </w:rPr>
                <w:t>48114947</w:t>
              </w:r>
            </w:hyperlink>
            <w:r>
              <w:t>]</w:t>
            </w:r>
          </w:p>
          <w:p w14:paraId="1CE7AD74" w14:textId="77777777" w:rsidR="00DA3F8E" w:rsidRDefault="007B012A">
            <w:r>
              <w:t xml:space="preserve">9. ŽUBER, Bruna. Sklep : 226. - 228. člen. V: KOVAČ, Polonca (ur.), et al. </w:t>
            </w:r>
            <w:r>
              <w:rPr>
                <w:i/>
              </w:rPr>
              <w:t>Komentar Zakona o splošnem upravnem postopku (ZUP)</w:t>
            </w:r>
            <w:r>
              <w:t xml:space="preserve">, (Zbirka predpisov). 1. natis. Ljubljana: Uradni list Republike Slovenije: Pravna fakulteta Univerze. 2020, knj. 2, str. 516-531. [COBISS.SI-ID </w:t>
            </w:r>
            <w:hyperlink r:id="rId13" w:history="1">
              <w:r>
                <w:rPr>
                  <w:rStyle w:val="Hyperlink"/>
                </w:rPr>
                <w:t>48117507</w:t>
              </w:r>
            </w:hyperlink>
            <w:r>
              <w:t>]</w:t>
            </w:r>
          </w:p>
          <w:p w14:paraId="1CE7AD75" w14:textId="77777777" w:rsidR="00DA3F8E" w:rsidRDefault="007B012A">
            <w:r>
              <w:t xml:space="preserve">10. ŽUBER, Bruna. Obnova postopka : 260. - 272. člen. V: KOVAČ, Polonca (ur.), et al. </w:t>
            </w:r>
            <w:r>
              <w:rPr>
                <w:i/>
              </w:rPr>
              <w:t>Komentar Zakona o splošnem upravnem postopku (ZUP)</w:t>
            </w:r>
            <w:r>
              <w:t xml:space="preserve">, (Zbirka predpisov). 1. natis. Ljubljana: Uradni list Republike Slovenije: Pravna fakulteta Univerze. 2020, knj. 2, str. 636-723. [COBISS.SI-ID </w:t>
            </w:r>
            <w:hyperlink r:id="rId14" w:history="1">
              <w:r>
                <w:rPr>
                  <w:rStyle w:val="Hyperlink"/>
                </w:rPr>
                <w:t>49085955</w:t>
              </w:r>
            </w:hyperlink>
            <w:r>
              <w:t>]</w:t>
            </w:r>
          </w:p>
          <w:p w14:paraId="1CE7AD76" w14:textId="77777777" w:rsidR="00DA3F8E" w:rsidRDefault="007B012A">
            <w:r>
              <w:t>11. ŽUBER, Bruna, DOBRAVEC JALEN, Mira, DOMJAN PAVLIN, Brigita, FAGANEL, Marjanca, GOLOB, Peter, KERŠEVAN, Erik, KMECL, Andrej, PIRNAT, Rajko, SMREKAR, Nataša, STEINMAN, Tatjana, ŠTUCIN, Zdenka, KERŠEVAN, Erik (urednik)</w:t>
            </w:r>
            <w:r>
              <w:rPr>
                <w:i/>
              </w:rPr>
              <w:t>. Zakon o upravnem sporu : (ZUS-1) : s komentarjem</w:t>
            </w:r>
            <w:r>
              <w:t xml:space="preserve">, (Nova slovenska zakonodaja). 1. natis. Ljubljana: Lexpera, GV založba, 2019. 546 str. ISBN 978-961-247-410-2. [COBISS.SI-ID </w:t>
            </w:r>
            <w:hyperlink r:id="rId15" w:history="1">
              <w:r>
                <w:rPr>
                  <w:rStyle w:val="Hyperlink"/>
                </w:rPr>
                <w:t>298623744</w:t>
              </w:r>
            </w:hyperlink>
            <w:r>
              <w:t>]</w:t>
            </w:r>
          </w:p>
          <w:p w14:paraId="1CE7AD77" w14:textId="77777777" w:rsidR="00DA3F8E" w:rsidRDefault="007B012A">
            <w:r>
              <w:t>12. ŽUBER, Bruna, AVBELJ, Matej, BARDUTZKY, Samo, DEŽMAN, Aljoša, FARMANY, Polona, GALIČ, Aleš, GRAD, Franc, IGLIČAR, Albin, IVANC, Blaž, KAUČIČ, Igor, KERŠEVAN, Erik, KNEZ, Rajko, KOVAČ, Polonca, MOŽINA, Damjan, PIRNAT, Rajko, PODLIPNIK, Jernej, ŠEPEC, Miha, ŠTURM, Lovro, TOPLAK, Jurij, TRSTENJAK, Verica, ZAGORC, Saša, ZAGRADIŠNIK, Renata, LETNAR ČERNIČ, Jernej, et al., AVBELJ, Matej (urednik)</w:t>
            </w:r>
            <w:r>
              <w:rPr>
                <w:i/>
              </w:rPr>
              <w:t>. Komentar Ustave Republike Slovenije : [znanstvena monografija]</w:t>
            </w:r>
            <w:r>
              <w:t xml:space="preserve">. 1. natis. Nova Gorica: Nova univerza, Evropska pravna fakulteta, 2019. 2 zv. (725; 519 str.). ISBN 978-961-6731-26-3. ISBN 978-961-6731-27-0. ISBN 978-961-6731-28-7. [COBISS.SI-ID </w:t>
            </w:r>
            <w:hyperlink r:id="rId16" w:history="1">
              <w:r>
                <w:rPr>
                  <w:rStyle w:val="Hyperlink"/>
                </w:rPr>
                <w:t>299270144</w:t>
              </w:r>
            </w:hyperlink>
            <w:r>
              <w:t>]</w:t>
            </w:r>
          </w:p>
          <w:p w14:paraId="1CE7AD78" w14:textId="77777777" w:rsidR="00DA3F8E" w:rsidRDefault="007B012A">
            <w:r>
              <w:t xml:space="preserve">13. ŽUBER, Bruna. Ustavna izhodišča javne obravnave v upravnem sporu. V: ŽUBER, Bruna (ur.), et al. </w:t>
            </w:r>
            <w:r>
              <w:rPr>
                <w:i/>
              </w:rPr>
              <w:t>Glavna obravnava pred upravnim sodnikom</w:t>
            </w:r>
            <w:r>
              <w:t xml:space="preserve">. Ljubljana: Pravna fakulteta, Založba Pravne fakultete. 2020, str. 17-42. [COBISS.SI-ID </w:t>
            </w:r>
            <w:hyperlink r:id="rId17" w:history="1">
              <w:r>
                <w:rPr>
                  <w:rStyle w:val="Hyperlink"/>
                </w:rPr>
                <w:t>44355331</w:t>
              </w:r>
            </w:hyperlink>
            <w:r>
              <w:t>]</w:t>
            </w:r>
          </w:p>
          <w:p w14:paraId="1CE7AD79" w14:textId="77777777" w:rsidR="00DA3F8E" w:rsidRDefault="007B012A">
            <w:r>
              <w:t xml:space="preserve">14. </w:t>
            </w:r>
            <w:r>
              <w:rPr>
                <w:b/>
              </w:rPr>
              <w:t xml:space="preserve"> </w:t>
            </w:r>
            <w:r>
              <w:t xml:space="preserve">ŽUBER, Bruna. Materialno procesno vodstvo v upravnem sporu. V: ŽUBER, Bruna (ur.), et al. </w:t>
            </w:r>
            <w:r>
              <w:rPr>
                <w:i/>
              </w:rPr>
              <w:t>Glavna obravnava pred upravnim sodnikom</w:t>
            </w:r>
            <w:r>
              <w:t xml:space="preserve">. Ljubljana: Pravna fakulteta, Založba Pravne fakultete. 2020, str. 119-158. [COBISS.SI-ID </w:t>
            </w:r>
            <w:hyperlink r:id="rId18" w:history="1">
              <w:r>
                <w:rPr>
                  <w:rStyle w:val="Hyperlink"/>
                </w:rPr>
                <w:t>44364803</w:t>
              </w:r>
            </w:hyperlink>
            <w:r>
              <w:t>]</w:t>
            </w:r>
          </w:p>
          <w:p w14:paraId="1CE7AD7A" w14:textId="77777777" w:rsidR="00DA3F8E" w:rsidRDefault="007B012A">
            <w:r>
              <w:t xml:space="preserve">15. ŽUBER, Bruna. Obnova upravnega postopka zoper sklep. </w:t>
            </w:r>
            <w:r>
              <w:rPr>
                <w:i/>
              </w:rPr>
              <w:t>Javna uprava</w:t>
            </w:r>
            <w:r>
              <w:t xml:space="preserve">, ISSN 1318-2277, 2017, letn. 53, št. 3/4, str. 53-66, 109-110. [COBISS.SI-ID </w:t>
            </w:r>
            <w:hyperlink r:id="rId19" w:history="1">
              <w:r>
                <w:rPr>
                  <w:rStyle w:val="Hyperlink"/>
                </w:rPr>
                <w:t>15955793</w:t>
              </w:r>
            </w:hyperlink>
            <w:r>
              <w:t>]</w:t>
            </w:r>
          </w:p>
          <w:p w14:paraId="1CE7AD7B" w14:textId="77777777" w:rsidR="00DA3F8E" w:rsidRDefault="007B012A">
            <w:r>
              <w:lastRenderedPageBreak/>
              <w:t xml:space="preserve">16. ŽUBER, Bruna. Pomen glavne obravnave v upravnem sporu. V: KAMBIČ, Marko (ur.), ŠKRUBEJ, Katja (ur.), ACCETTO, Matej. </w:t>
            </w:r>
            <w:r>
              <w:rPr>
                <w:i/>
              </w:rPr>
              <w:t>Odsev dejstev v pravu : da mihi facta, dabo tibi ius : liber amicorum Janez Kranjc</w:t>
            </w:r>
            <w:r>
              <w:t xml:space="preserve">. 1. natis. Ljubljana: Pravna fakulteta. 2019, str. 485-494. [COBISS.SI-ID </w:t>
            </w:r>
            <w:hyperlink r:id="rId20" w:history="1">
              <w:r>
                <w:rPr>
                  <w:rStyle w:val="Hyperlink"/>
                </w:rPr>
                <w:t>16895825</w:t>
              </w:r>
            </w:hyperlink>
            <w:r>
              <w:t>]</w:t>
            </w:r>
          </w:p>
          <w:p w14:paraId="1CE7AD7C" w14:textId="77777777" w:rsidR="00DA3F8E" w:rsidRDefault="007B012A">
            <w:r>
              <w:t xml:space="preserve">17. ŽUBER, Bruna. The legal nature of local electoral dispute : the case of Slovenia. </w:t>
            </w:r>
            <w:r>
              <w:rPr>
                <w:i/>
              </w:rPr>
              <w:t>Lex localis : revija za lokalno samoupravo</w:t>
            </w:r>
            <w:r>
              <w:t xml:space="preserve">, ISSN 1581-5374. [Tiskana izd.], 2019, vol. 17, iss. 4, str. 1097-1128. [COBISS.SI-ID </w:t>
            </w:r>
            <w:hyperlink r:id="rId21" w:history="1">
              <w:r>
                <w:rPr>
                  <w:rStyle w:val="Hyperlink"/>
                </w:rPr>
                <w:t>16990033</w:t>
              </w:r>
            </w:hyperlink>
            <w:r>
              <w:t>]</w:t>
            </w:r>
          </w:p>
        </w:tc>
      </w:tr>
    </w:tbl>
    <w:p w14:paraId="1CE7AD7E" w14:textId="77777777" w:rsidR="00286D37" w:rsidRDefault="00286D37"/>
    <w:sectPr w:rsidR="00286D37"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86D37"/>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6A1419"/>
    <w:rsid w:val="00752599"/>
    <w:rsid w:val="00762C94"/>
    <w:rsid w:val="007720CE"/>
    <w:rsid w:val="007B012A"/>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A3F8E"/>
    <w:rsid w:val="00DC7D1B"/>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ACC2"/>
  <w15:chartTrackingRefBased/>
  <w15:docId w15:val="{4021D998-4B41-4E5C-B031-B972F2E0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character" w:styleId="Hyperlink">
    <w:name w:val="Hyperlink"/>
    <w:unhideWhenUsed/>
    <w:rPr>
      <w:color w:val="6B9F25" w:themeColor="hyperlink"/>
      <w:u w:val="single"/>
    </w:rPr>
  </w:style>
  <w:style w:type="paragraph" w:styleId="Revision">
    <w:name w:val="Revision"/>
    <w:hidden/>
    <w:uiPriority w:val="99"/>
    <w:semiHidden/>
    <w:rsid w:val="006A1419"/>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si.cobiss.net/opac7/bib/47003139?lang=sl" TargetMode="External"/><Relationship Id="rId13" Type="http://schemas.openxmlformats.org/officeDocument/2006/relationships/hyperlink" Target="https://plus.si.cobiss.net/opac7/bib/48117507?lang=sl" TargetMode="External"/><Relationship Id="rId18" Type="http://schemas.openxmlformats.org/officeDocument/2006/relationships/hyperlink" Target="https://plus.si.cobiss.net/opac7/bib/44364803?lang=sl" TargetMode="External"/><Relationship Id="rId3" Type="http://schemas.openxmlformats.org/officeDocument/2006/relationships/settings" Target="settings.xml"/><Relationship Id="rId21" Type="http://schemas.openxmlformats.org/officeDocument/2006/relationships/hyperlink" Target="https://plus.si.cobiss.net/opac7/bib/16990033?lang=sl" TargetMode="External"/><Relationship Id="rId7" Type="http://schemas.openxmlformats.org/officeDocument/2006/relationships/hyperlink" Target="https://plus.si.cobiss.net/opac7/bib/47001603?lang=sl" TargetMode="External"/><Relationship Id="rId12" Type="http://schemas.openxmlformats.org/officeDocument/2006/relationships/hyperlink" Target="https://plus.si.cobiss.net/opac7/bib/48114947?lang=sl" TargetMode="External"/><Relationship Id="rId17" Type="http://schemas.openxmlformats.org/officeDocument/2006/relationships/hyperlink" Target="https://plus.si.cobiss.net/opac7/bib/44355331?lang=sl" TargetMode="External"/><Relationship Id="rId2" Type="http://schemas.openxmlformats.org/officeDocument/2006/relationships/styles" Target="styles.xml"/><Relationship Id="rId16" Type="http://schemas.openxmlformats.org/officeDocument/2006/relationships/hyperlink" Target="https://plus.si.cobiss.net/opac7/bib/299270144?lang=sl" TargetMode="External"/><Relationship Id="rId20" Type="http://schemas.openxmlformats.org/officeDocument/2006/relationships/hyperlink" Target="https://plus.si.cobiss.net/opac7/bib/16895825?lang=sl" TargetMode="External"/><Relationship Id="rId1" Type="http://schemas.openxmlformats.org/officeDocument/2006/relationships/customXml" Target="../customXml/item1.xml"/><Relationship Id="rId6" Type="http://schemas.openxmlformats.org/officeDocument/2006/relationships/hyperlink" Target="https://plus.si.cobiss.net/opac7/bib/47001091?lang=sl" TargetMode="External"/><Relationship Id="rId11" Type="http://schemas.openxmlformats.org/officeDocument/2006/relationships/hyperlink" Target="https://plus.si.cobiss.net/opac7/bib/48114179?lang=sl" TargetMode="External"/><Relationship Id="rId5" Type="http://schemas.openxmlformats.org/officeDocument/2006/relationships/hyperlink" Target="https://plus.si.cobiss.net/opac7/bib/46913283?lang=sl" TargetMode="External"/><Relationship Id="rId15" Type="http://schemas.openxmlformats.org/officeDocument/2006/relationships/hyperlink" Target="https://plus.si.cobiss.net/opac7/bib/298623744?lang=sl" TargetMode="External"/><Relationship Id="rId23" Type="http://schemas.openxmlformats.org/officeDocument/2006/relationships/theme" Target="theme/theme1.xml"/><Relationship Id="rId10" Type="http://schemas.openxmlformats.org/officeDocument/2006/relationships/hyperlink" Target="https://plus.si.cobiss.net/opac7/bib/48108035?lang=sl" TargetMode="External"/><Relationship Id="rId19" Type="http://schemas.openxmlformats.org/officeDocument/2006/relationships/hyperlink" Target="https://plus.si.cobiss.net/opac7/bib/15955793?lang=sl" TargetMode="External"/><Relationship Id="rId4" Type="http://schemas.openxmlformats.org/officeDocument/2006/relationships/webSettings" Target="webSettings.xml"/><Relationship Id="rId9" Type="http://schemas.openxmlformats.org/officeDocument/2006/relationships/hyperlink" Target="https://plus.si.cobiss.net/opac7/bib/48095235?lang=sl" TargetMode="External"/><Relationship Id="rId14" Type="http://schemas.openxmlformats.org/officeDocument/2006/relationships/hyperlink" Target="https://plus.si.cobiss.net/opac7/bib/49085955?lang=s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4DEE-1D9C-43DC-964B-0E07BD5F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66</cp:revision>
  <dcterms:created xsi:type="dcterms:W3CDTF">2015-03-19T09:29:00Z</dcterms:created>
  <dcterms:modified xsi:type="dcterms:W3CDTF">2025-08-19T08:04:00Z</dcterms:modified>
</cp:coreProperties>
</file>