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E6FF3" w14:textId="77777777" w:rsidR="009B67FD" w:rsidRDefault="002E0EC4">
      <w:pPr>
        <w:pStyle w:val="Naslov1"/>
      </w:pPr>
      <w:r>
        <w:t>Gospodarsko in civilno pravo EU</w:t>
      </w:r>
      <w:r>
        <w:br/>
      </w:r>
      <w:r>
        <w:br/>
        <w:t>Učni načrt predmeta/Course syllabus</w:t>
      </w:r>
    </w:p>
    <w:tbl>
      <w:tblPr>
        <w:tblStyle w:val="VerticalTable"/>
        <w:tblW w:w="5000" w:type="pct"/>
        <w:tblLook w:val="04A0" w:firstRow="1" w:lastRow="0" w:firstColumn="1" w:lastColumn="0" w:noHBand="0" w:noVBand="1"/>
      </w:tblPr>
      <w:tblGrid>
        <w:gridCol w:w="2890"/>
        <w:gridCol w:w="6743"/>
      </w:tblGrid>
      <w:tr w:rsidR="009B67FD" w14:paraId="356AD025" w14:textId="77777777" w:rsidTr="009B67FD">
        <w:tc>
          <w:tcPr>
            <w:cnfStyle w:val="001000000000" w:firstRow="0" w:lastRow="0" w:firstColumn="1" w:lastColumn="0" w:oddVBand="0" w:evenVBand="0" w:oddHBand="0" w:evenHBand="0" w:firstRowFirstColumn="0" w:firstRowLastColumn="0" w:lastRowFirstColumn="0" w:lastRowLastColumn="0"/>
            <w:tcW w:w="1500" w:type="pct"/>
          </w:tcPr>
          <w:p w14:paraId="44998FC6" w14:textId="77777777" w:rsidR="009B67FD" w:rsidRDefault="002E0EC4">
            <w:r>
              <w:t>Predmet:</w:t>
            </w:r>
          </w:p>
        </w:tc>
        <w:tc>
          <w:tcPr>
            <w:tcW w:w="3500" w:type="pct"/>
          </w:tcPr>
          <w:p w14:paraId="522D783E" w14:textId="77777777" w:rsidR="009B67FD" w:rsidRDefault="002E0EC4">
            <w:pPr>
              <w:cnfStyle w:val="000000000000" w:firstRow="0" w:lastRow="0" w:firstColumn="0" w:lastColumn="0" w:oddVBand="0" w:evenVBand="0" w:oddHBand="0" w:evenHBand="0" w:firstRowFirstColumn="0" w:firstRowLastColumn="0" w:lastRowFirstColumn="0" w:lastRowLastColumn="0"/>
            </w:pPr>
            <w:r>
              <w:t>Gospodarsko in civilno pravo EU</w:t>
            </w:r>
          </w:p>
        </w:tc>
      </w:tr>
      <w:tr w:rsidR="009B67FD" w14:paraId="47C546F2" w14:textId="77777777" w:rsidTr="009B67FD">
        <w:tc>
          <w:tcPr>
            <w:cnfStyle w:val="001000000000" w:firstRow="0" w:lastRow="0" w:firstColumn="1" w:lastColumn="0" w:oddVBand="0" w:evenVBand="0" w:oddHBand="0" w:evenHBand="0" w:firstRowFirstColumn="0" w:firstRowLastColumn="0" w:lastRowFirstColumn="0" w:lastRowLastColumn="0"/>
            <w:tcW w:w="1500" w:type="pct"/>
          </w:tcPr>
          <w:p w14:paraId="5DBFEB50" w14:textId="77777777" w:rsidR="009B67FD" w:rsidRDefault="002E0EC4">
            <w:r>
              <w:t>Course title:</w:t>
            </w:r>
          </w:p>
        </w:tc>
        <w:tc>
          <w:tcPr>
            <w:tcW w:w="3500" w:type="pct"/>
          </w:tcPr>
          <w:p w14:paraId="26B34E08" w14:textId="77777777" w:rsidR="009B67FD" w:rsidRDefault="002E0EC4">
            <w:pPr>
              <w:cnfStyle w:val="000000000000" w:firstRow="0" w:lastRow="0" w:firstColumn="0" w:lastColumn="0" w:oddVBand="0" w:evenVBand="0" w:oddHBand="0" w:evenHBand="0" w:firstRowFirstColumn="0" w:firstRowLastColumn="0" w:lastRowFirstColumn="0" w:lastRowLastColumn="0"/>
            </w:pPr>
            <w:r>
              <w:t>EU commercial and civil law</w:t>
            </w:r>
          </w:p>
        </w:tc>
      </w:tr>
      <w:tr w:rsidR="009B67FD" w14:paraId="02022642" w14:textId="77777777" w:rsidTr="009B67FD">
        <w:tc>
          <w:tcPr>
            <w:cnfStyle w:val="001000000000" w:firstRow="0" w:lastRow="0" w:firstColumn="1" w:lastColumn="0" w:oddVBand="0" w:evenVBand="0" w:oddHBand="0" w:evenHBand="0" w:firstRowFirstColumn="0" w:firstRowLastColumn="0" w:lastRowFirstColumn="0" w:lastRowLastColumn="0"/>
            <w:tcW w:w="1500" w:type="pct"/>
          </w:tcPr>
          <w:p w14:paraId="763F9B09" w14:textId="77777777" w:rsidR="009B67FD" w:rsidRDefault="002E0EC4">
            <w:r>
              <w:t>Članica nosilka/UL Member:</w:t>
            </w:r>
          </w:p>
        </w:tc>
        <w:tc>
          <w:tcPr>
            <w:tcW w:w="3500" w:type="pct"/>
          </w:tcPr>
          <w:p w14:paraId="012BA268" w14:textId="77777777" w:rsidR="009B67FD" w:rsidRDefault="002E0EC4">
            <w:pPr>
              <w:cnfStyle w:val="000000000000" w:firstRow="0" w:lastRow="0" w:firstColumn="0" w:lastColumn="0" w:oddVBand="0" w:evenVBand="0" w:oddHBand="0" w:evenHBand="0" w:firstRowFirstColumn="0" w:firstRowLastColumn="0" w:lastRowFirstColumn="0" w:lastRowLastColumn="0"/>
            </w:pPr>
            <w:r>
              <w:t>UL PF</w:t>
            </w:r>
          </w:p>
        </w:tc>
      </w:tr>
    </w:tbl>
    <w:p w14:paraId="2782677A" w14:textId="77777777" w:rsidR="009B67FD" w:rsidRDefault="009B67FD"/>
    <w:tbl>
      <w:tblPr>
        <w:tblStyle w:val="DefaultTable"/>
        <w:tblW w:w="5000" w:type="pct"/>
        <w:tblLook w:val="04A0" w:firstRow="1" w:lastRow="0" w:firstColumn="1" w:lastColumn="0" w:noHBand="0" w:noVBand="1"/>
      </w:tblPr>
      <w:tblGrid>
        <w:gridCol w:w="3589"/>
        <w:gridCol w:w="2625"/>
        <w:gridCol w:w="1181"/>
        <w:gridCol w:w="1181"/>
        <w:gridCol w:w="1062"/>
      </w:tblGrid>
      <w:tr w:rsidR="009B67FD" w14:paraId="52895492" w14:textId="77777777" w:rsidTr="009B67FD">
        <w:trPr>
          <w:cnfStyle w:val="100000000000" w:firstRow="1" w:lastRow="0" w:firstColumn="0" w:lastColumn="0" w:oddVBand="0" w:evenVBand="0" w:oddHBand="0" w:evenHBand="0" w:firstRowFirstColumn="0" w:firstRowLastColumn="0" w:lastRowFirstColumn="0" w:lastRowLastColumn="0"/>
        </w:trPr>
        <w:tc>
          <w:tcPr>
            <w:tcW w:w="2000" w:type="pct"/>
          </w:tcPr>
          <w:p w14:paraId="50C88CD2" w14:textId="77777777" w:rsidR="009B67FD" w:rsidRDefault="002E0EC4">
            <w:r>
              <w:t>Študijski programi in stopnja</w:t>
            </w:r>
          </w:p>
        </w:tc>
        <w:tc>
          <w:tcPr>
            <w:tcW w:w="1500" w:type="pct"/>
          </w:tcPr>
          <w:p w14:paraId="38CF2925" w14:textId="77777777" w:rsidR="009B67FD" w:rsidRDefault="002E0EC4">
            <w:r>
              <w:t>Študijska smer</w:t>
            </w:r>
          </w:p>
        </w:tc>
        <w:tc>
          <w:tcPr>
            <w:tcW w:w="500" w:type="pct"/>
          </w:tcPr>
          <w:p w14:paraId="7E6A524B" w14:textId="77777777" w:rsidR="009B67FD" w:rsidRDefault="002E0EC4">
            <w:r>
              <w:t>Letnik</w:t>
            </w:r>
          </w:p>
        </w:tc>
        <w:tc>
          <w:tcPr>
            <w:tcW w:w="500" w:type="pct"/>
          </w:tcPr>
          <w:p w14:paraId="4FE40FFD" w14:textId="77777777" w:rsidR="009B67FD" w:rsidRDefault="002E0EC4">
            <w:r>
              <w:t>Semestri</w:t>
            </w:r>
          </w:p>
        </w:tc>
        <w:tc>
          <w:tcPr>
            <w:tcW w:w="500" w:type="pct"/>
          </w:tcPr>
          <w:p w14:paraId="7B4649C7" w14:textId="77777777" w:rsidR="009B67FD" w:rsidRDefault="002E0EC4">
            <w:r>
              <w:t>Izbirnost</w:t>
            </w:r>
          </w:p>
        </w:tc>
      </w:tr>
      <w:tr w:rsidR="009B67FD" w14:paraId="300487EC" w14:textId="77777777" w:rsidTr="009B67FD">
        <w:tc>
          <w:tcPr>
            <w:tcW w:w="2000" w:type="pct"/>
          </w:tcPr>
          <w:p w14:paraId="797E59D9" w14:textId="77777777" w:rsidR="009B67FD" w:rsidRDefault="002E0EC4">
            <w:r>
              <w:t>Pravo, tretja stopnja, doktorski</w:t>
            </w:r>
          </w:p>
        </w:tc>
        <w:tc>
          <w:tcPr>
            <w:tcW w:w="1500" w:type="pct"/>
          </w:tcPr>
          <w:p w14:paraId="7F49E0D9" w14:textId="77777777" w:rsidR="009B67FD" w:rsidRDefault="002E0EC4">
            <w:r>
              <w:t xml:space="preserve">Evropsko pravo (modul)                </w:t>
            </w:r>
          </w:p>
        </w:tc>
        <w:tc>
          <w:tcPr>
            <w:tcW w:w="750" w:type="pct"/>
          </w:tcPr>
          <w:p w14:paraId="5043F152" w14:textId="77777777" w:rsidR="009B67FD" w:rsidRDefault="002E0EC4">
            <w:r>
              <w:t>1. letnik</w:t>
            </w:r>
          </w:p>
        </w:tc>
        <w:tc>
          <w:tcPr>
            <w:tcW w:w="750" w:type="pct"/>
          </w:tcPr>
          <w:p w14:paraId="598DC6CE" w14:textId="77777777" w:rsidR="009B67FD" w:rsidRDefault="002E0EC4">
            <w:r>
              <w:t>1. semester</w:t>
            </w:r>
          </w:p>
        </w:tc>
        <w:tc>
          <w:tcPr>
            <w:tcW w:w="750" w:type="pct"/>
          </w:tcPr>
          <w:p w14:paraId="2F10BBE2" w14:textId="77777777" w:rsidR="009B67FD" w:rsidRDefault="002E0EC4">
            <w:r>
              <w:t>obvezni</w:t>
            </w:r>
          </w:p>
        </w:tc>
      </w:tr>
    </w:tbl>
    <w:p w14:paraId="38DF32C4" w14:textId="77777777" w:rsidR="009B67FD" w:rsidRDefault="009B67FD"/>
    <w:tbl>
      <w:tblPr>
        <w:tblStyle w:val="VerticalTable"/>
        <w:tblW w:w="5000" w:type="pct"/>
        <w:tblLook w:val="04A0" w:firstRow="1" w:lastRow="0" w:firstColumn="1" w:lastColumn="0" w:noHBand="0" w:noVBand="1"/>
      </w:tblPr>
      <w:tblGrid>
        <w:gridCol w:w="5298"/>
        <w:gridCol w:w="4335"/>
      </w:tblGrid>
      <w:tr w:rsidR="009B67FD" w14:paraId="69CF45AF" w14:textId="77777777" w:rsidTr="009B67FD">
        <w:tc>
          <w:tcPr>
            <w:cnfStyle w:val="001000000000" w:firstRow="0" w:lastRow="0" w:firstColumn="1" w:lastColumn="0" w:oddVBand="0" w:evenVBand="0" w:oddHBand="0" w:evenHBand="0" w:firstRowFirstColumn="0" w:firstRowLastColumn="0" w:lastRowFirstColumn="0" w:lastRowLastColumn="0"/>
            <w:tcW w:w="2750" w:type="pct"/>
          </w:tcPr>
          <w:p w14:paraId="65AB4E5C" w14:textId="77777777" w:rsidR="009B67FD" w:rsidRDefault="002E0EC4">
            <w:r>
              <w:t>Univerzitetna koda predmeta/University course code:</w:t>
            </w:r>
          </w:p>
        </w:tc>
        <w:tc>
          <w:tcPr>
            <w:tcW w:w="2250" w:type="pct"/>
          </w:tcPr>
          <w:p w14:paraId="77EA125C" w14:textId="77777777" w:rsidR="009B67FD" w:rsidRDefault="002E0EC4">
            <w:pPr>
              <w:cnfStyle w:val="000000000000" w:firstRow="0" w:lastRow="0" w:firstColumn="0" w:lastColumn="0" w:oddVBand="0" w:evenVBand="0" w:oddHBand="0" w:evenHBand="0" w:firstRowFirstColumn="0" w:firstRowLastColumn="0" w:lastRowFirstColumn="0" w:lastRowLastColumn="0"/>
            </w:pPr>
            <w:r>
              <w:t>0046708</w:t>
            </w:r>
          </w:p>
        </w:tc>
      </w:tr>
      <w:tr w:rsidR="009B67FD" w14:paraId="564301E6" w14:textId="77777777" w:rsidTr="009B67FD">
        <w:tc>
          <w:tcPr>
            <w:cnfStyle w:val="001000000000" w:firstRow="0" w:lastRow="0" w:firstColumn="1" w:lastColumn="0" w:oddVBand="0" w:evenVBand="0" w:oddHBand="0" w:evenHBand="0" w:firstRowFirstColumn="0" w:firstRowLastColumn="0" w:lastRowFirstColumn="0" w:lastRowLastColumn="0"/>
            <w:tcW w:w="2750" w:type="pct"/>
          </w:tcPr>
          <w:p w14:paraId="4FB14AED" w14:textId="77777777" w:rsidR="009B67FD" w:rsidRDefault="002E0EC4">
            <w:r>
              <w:t>Koda učne enote na članici/UL Member course code:</w:t>
            </w:r>
          </w:p>
        </w:tc>
        <w:tc>
          <w:tcPr>
            <w:tcW w:w="2250" w:type="pct"/>
          </w:tcPr>
          <w:p w14:paraId="5F9445B4" w14:textId="77777777" w:rsidR="009B67FD" w:rsidRDefault="002E0EC4">
            <w:pPr>
              <w:cnfStyle w:val="000000000000" w:firstRow="0" w:lastRow="0" w:firstColumn="0" w:lastColumn="0" w:oddVBand="0" w:evenVBand="0" w:oddHBand="0" w:evenHBand="0" w:firstRowFirstColumn="0" w:firstRowLastColumn="0" w:lastRowFirstColumn="0" w:lastRowLastColumn="0"/>
            </w:pPr>
            <w:r>
              <w:t>519</w:t>
            </w:r>
          </w:p>
        </w:tc>
      </w:tr>
    </w:tbl>
    <w:p w14:paraId="63ACC9E4" w14:textId="77777777" w:rsidR="009B67FD" w:rsidRDefault="009B67FD"/>
    <w:tbl>
      <w:tblPr>
        <w:tblStyle w:val="DefaultTable"/>
        <w:tblW w:w="5000" w:type="pct"/>
        <w:tblLook w:val="04A0" w:firstRow="1" w:lastRow="0" w:firstColumn="1" w:lastColumn="0" w:noHBand="0" w:noVBand="1"/>
      </w:tblPr>
      <w:tblGrid>
        <w:gridCol w:w="1475"/>
        <w:gridCol w:w="1475"/>
        <w:gridCol w:w="1475"/>
        <w:gridCol w:w="1476"/>
        <w:gridCol w:w="1476"/>
        <w:gridCol w:w="1476"/>
        <w:gridCol w:w="785"/>
      </w:tblGrid>
      <w:tr w:rsidR="009B67FD" w14:paraId="085D6383" w14:textId="77777777" w:rsidTr="009B67FD">
        <w:trPr>
          <w:cnfStyle w:val="100000000000" w:firstRow="1" w:lastRow="0" w:firstColumn="0" w:lastColumn="0" w:oddVBand="0" w:evenVBand="0" w:oddHBand="0" w:evenHBand="0" w:firstRowFirstColumn="0" w:firstRowLastColumn="0" w:lastRowFirstColumn="0" w:lastRowLastColumn="0"/>
        </w:trPr>
        <w:tc>
          <w:tcPr>
            <w:tcW w:w="800" w:type="pct"/>
          </w:tcPr>
          <w:p w14:paraId="76CA1AE6" w14:textId="77777777" w:rsidR="009B67FD" w:rsidRDefault="002E0EC4">
            <w:pPr>
              <w:keepNext/>
              <w:jc w:val="center"/>
            </w:pPr>
            <w:r>
              <w:t>Predavanja</w:t>
            </w:r>
            <w:r>
              <w:br/>
              <w:t>/Lectures</w:t>
            </w:r>
          </w:p>
        </w:tc>
        <w:tc>
          <w:tcPr>
            <w:tcW w:w="800" w:type="pct"/>
          </w:tcPr>
          <w:p w14:paraId="4276D90C" w14:textId="77777777" w:rsidR="009B67FD" w:rsidRDefault="002E0EC4">
            <w:pPr>
              <w:keepNext/>
              <w:jc w:val="center"/>
            </w:pPr>
            <w:r>
              <w:t>Seminar</w:t>
            </w:r>
            <w:r>
              <w:br/>
              <w:t>/Seminar</w:t>
            </w:r>
          </w:p>
        </w:tc>
        <w:tc>
          <w:tcPr>
            <w:tcW w:w="800" w:type="pct"/>
          </w:tcPr>
          <w:p w14:paraId="647185FC" w14:textId="77777777" w:rsidR="009B67FD" w:rsidRDefault="002E0EC4">
            <w:pPr>
              <w:keepNext/>
              <w:jc w:val="center"/>
            </w:pPr>
            <w:r>
              <w:t>Vaje</w:t>
            </w:r>
            <w:r>
              <w:br/>
              <w:t>/Tutorials</w:t>
            </w:r>
          </w:p>
        </w:tc>
        <w:tc>
          <w:tcPr>
            <w:tcW w:w="800" w:type="pct"/>
          </w:tcPr>
          <w:p w14:paraId="722E1293" w14:textId="77777777" w:rsidR="009B67FD" w:rsidRDefault="002E0EC4">
            <w:pPr>
              <w:keepNext/>
              <w:jc w:val="center"/>
            </w:pPr>
            <w:r>
              <w:t>Klinične vaje</w:t>
            </w:r>
            <w:r>
              <w:br/>
              <w:t>/Clinical tutorials</w:t>
            </w:r>
          </w:p>
        </w:tc>
        <w:tc>
          <w:tcPr>
            <w:tcW w:w="800" w:type="pct"/>
          </w:tcPr>
          <w:p w14:paraId="6C8B7F2B" w14:textId="77777777" w:rsidR="009B67FD" w:rsidRDefault="002E0EC4">
            <w:pPr>
              <w:keepNext/>
              <w:jc w:val="center"/>
            </w:pPr>
            <w:r>
              <w:t>Druge oblike študija</w:t>
            </w:r>
            <w:r>
              <w:br/>
              <w:t>/Other forms of study</w:t>
            </w:r>
          </w:p>
        </w:tc>
        <w:tc>
          <w:tcPr>
            <w:tcW w:w="800" w:type="pct"/>
          </w:tcPr>
          <w:p w14:paraId="3E9A98DF" w14:textId="77777777" w:rsidR="009B67FD" w:rsidRDefault="002E0EC4">
            <w:pPr>
              <w:keepNext/>
              <w:jc w:val="center"/>
            </w:pPr>
            <w:r>
              <w:t>Samostojno delo</w:t>
            </w:r>
            <w:r>
              <w:br/>
              <w:t>/Individual student work</w:t>
            </w:r>
          </w:p>
        </w:tc>
        <w:tc>
          <w:tcPr>
            <w:tcW w:w="200" w:type="pct"/>
          </w:tcPr>
          <w:p w14:paraId="4BE76D6A" w14:textId="77777777" w:rsidR="009B67FD" w:rsidRDefault="002E0EC4">
            <w:pPr>
              <w:keepNext/>
              <w:jc w:val="center"/>
            </w:pPr>
            <w:r>
              <w:t>ECTS</w:t>
            </w:r>
          </w:p>
        </w:tc>
      </w:tr>
      <w:tr w:rsidR="009B67FD" w14:paraId="53297778" w14:textId="77777777">
        <w:tc>
          <w:tcPr>
            <w:tcW w:w="0" w:type="auto"/>
          </w:tcPr>
          <w:p w14:paraId="01BF5091" w14:textId="77777777" w:rsidR="009B67FD" w:rsidRDefault="002E0EC4">
            <w:pPr>
              <w:keepNext/>
              <w:jc w:val="center"/>
            </w:pPr>
            <w:r>
              <w:t>30</w:t>
            </w:r>
          </w:p>
        </w:tc>
        <w:tc>
          <w:tcPr>
            <w:tcW w:w="0" w:type="auto"/>
          </w:tcPr>
          <w:p w14:paraId="23827217" w14:textId="77777777" w:rsidR="009B67FD" w:rsidRDefault="002E0EC4">
            <w:pPr>
              <w:keepNext/>
              <w:jc w:val="center"/>
            </w:pPr>
            <w:r>
              <w:t>15</w:t>
            </w:r>
          </w:p>
        </w:tc>
        <w:tc>
          <w:tcPr>
            <w:tcW w:w="0" w:type="auto"/>
          </w:tcPr>
          <w:p w14:paraId="5E5FA4A9" w14:textId="77777777" w:rsidR="009B67FD" w:rsidRDefault="002E0EC4">
            <w:pPr>
              <w:keepNext/>
              <w:jc w:val="center"/>
            </w:pPr>
            <w:r>
              <w:t>0</w:t>
            </w:r>
          </w:p>
        </w:tc>
        <w:tc>
          <w:tcPr>
            <w:tcW w:w="0" w:type="auto"/>
          </w:tcPr>
          <w:p w14:paraId="163CE31B" w14:textId="77777777" w:rsidR="009B67FD" w:rsidRDefault="002E0EC4">
            <w:pPr>
              <w:keepNext/>
              <w:jc w:val="center"/>
            </w:pPr>
            <w:r>
              <w:t>0</w:t>
            </w:r>
          </w:p>
        </w:tc>
        <w:tc>
          <w:tcPr>
            <w:tcW w:w="0" w:type="auto"/>
          </w:tcPr>
          <w:p w14:paraId="38E13204" w14:textId="77777777" w:rsidR="009B67FD" w:rsidRDefault="002E0EC4">
            <w:pPr>
              <w:keepNext/>
              <w:jc w:val="center"/>
            </w:pPr>
            <w:r>
              <w:t>0</w:t>
            </w:r>
          </w:p>
        </w:tc>
        <w:tc>
          <w:tcPr>
            <w:tcW w:w="0" w:type="auto"/>
          </w:tcPr>
          <w:p w14:paraId="32488790" w14:textId="77777777" w:rsidR="009B67FD" w:rsidRDefault="002E0EC4">
            <w:pPr>
              <w:keepNext/>
              <w:jc w:val="center"/>
            </w:pPr>
            <w:r>
              <w:t>205</w:t>
            </w:r>
          </w:p>
        </w:tc>
        <w:tc>
          <w:tcPr>
            <w:tcW w:w="0" w:type="auto"/>
          </w:tcPr>
          <w:p w14:paraId="23857D6D" w14:textId="77777777" w:rsidR="009B67FD" w:rsidRDefault="002E0EC4">
            <w:pPr>
              <w:keepNext/>
              <w:jc w:val="center"/>
            </w:pPr>
            <w:r>
              <w:t>10</w:t>
            </w:r>
          </w:p>
        </w:tc>
      </w:tr>
    </w:tbl>
    <w:p w14:paraId="78D90B42" w14:textId="77777777" w:rsidR="009B67FD" w:rsidRDefault="009B67FD"/>
    <w:tbl>
      <w:tblPr>
        <w:tblStyle w:val="VerticalTable"/>
        <w:tblW w:w="5000" w:type="pct"/>
        <w:tblLook w:val="04A0" w:firstRow="1" w:lastRow="0" w:firstColumn="1" w:lastColumn="0" w:noHBand="0" w:noVBand="1"/>
      </w:tblPr>
      <w:tblGrid>
        <w:gridCol w:w="3083"/>
        <w:gridCol w:w="6550"/>
      </w:tblGrid>
      <w:tr w:rsidR="009B67FD" w14:paraId="232F87A6" w14:textId="77777777" w:rsidTr="009B67FD">
        <w:tc>
          <w:tcPr>
            <w:cnfStyle w:val="001000000000" w:firstRow="0" w:lastRow="0" w:firstColumn="1" w:lastColumn="0" w:oddVBand="0" w:evenVBand="0" w:oddHBand="0" w:evenHBand="0" w:firstRowFirstColumn="0" w:firstRowLastColumn="0" w:lastRowFirstColumn="0" w:lastRowLastColumn="0"/>
            <w:tcW w:w="1600" w:type="pct"/>
          </w:tcPr>
          <w:p w14:paraId="3991ECEC" w14:textId="77777777" w:rsidR="009B67FD" w:rsidRDefault="002E0EC4">
            <w:r>
              <w:t>Nosilec predmeta/Lecturer:</w:t>
            </w:r>
          </w:p>
        </w:tc>
        <w:tc>
          <w:tcPr>
            <w:tcW w:w="3400" w:type="pct"/>
          </w:tcPr>
          <w:p w14:paraId="2E3ADCA6" w14:textId="77777777" w:rsidR="009B67FD" w:rsidRDefault="002E0EC4">
            <w:pPr>
              <w:cnfStyle w:val="000000000000" w:firstRow="0" w:lastRow="0" w:firstColumn="0" w:lastColumn="0" w:oddVBand="0" w:evenVBand="0" w:oddHBand="0" w:evenHBand="0" w:firstRowFirstColumn="0" w:firstRowLastColumn="0" w:lastRowFirstColumn="0" w:lastRowLastColumn="0"/>
            </w:pPr>
            <w:r>
              <w:t xml:space="preserve">Peter Grilc                </w:t>
            </w:r>
          </w:p>
        </w:tc>
      </w:tr>
    </w:tbl>
    <w:p w14:paraId="7173BFBF" w14:textId="77777777" w:rsidR="009B67FD" w:rsidRDefault="009B67FD"/>
    <w:tbl>
      <w:tblPr>
        <w:tblStyle w:val="VerticalTable"/>
        <w:tblW w:w="5000" w:type="pct"/>
        <w:tblLook w:val="04A0" w:firstRow="1" w:lastRow="0" w:firstColumn="1" w:lastColumn="0" w:noHBand="0" w:noVBand="1"/>
      </w:tblPr>
      <w:tblGrid>
        <w:gridCol w:w="3083"/>
        <w:gridCol w:w="6550"/>
      </w:tblGrid>
      <w:tr w:rsidR="009B67FD" w14:paraId="4B832E77" w14:textId="77777777" w:rsidTr="009B67FD">
        <w:tc>
          <w:tcPr>
            <w:cnfStyle w:val="001000000000" w:firstRow="0" w:lastRow="0" w:firstColumn="1" w:lastColumn="0" w:oddVBand="0" w:evenVBand="0" w:oddHBand="0" w:evenHBand="0" w:firstRowFirstColumn="0" w:firstRowLastColumn="0" w:lastRowFirstColumn="0" w:lastRowLastColumn="0"/>
            <w:tcW w:w="1600" w:type="pct"/>
          </w:tcPr>
          <w:p w14:paraId="008FF76E" w14:textId="77777777" w:rsidR="009B67FD" w:rsidRDefault="002E0EC4">
            <w:r>
              <w:t>Vrsta predmeta/Course type:</w:t>
            </w:r>
          </w:p>
        </w:tc>
        <w:tc>
          <w:tcPr>
            <w:tcW w:w="3400" w:type="pct"/>
          </w:tcPr>
          <w:p w14:paraId="2E13DFF3" w14:textId="77777777" w:rsidR="009B67FD" w:rsidRDefault="002E0EC4">
            <w:pPr>
              <w:cnfStyle w:val="000000000000" w:firstRow="0" w:lastRow="0" w:firstColumn="0" w:lastColumn="0" w:oddVBand="0" w:evenVBand="0" w:oddHBand="0" w:evenHBand="0" w:firstRowFirstColumn="0" w:firstRowLastColumn="0" w:lastRowFirstColumn="0" w:lastRowLastColumn="0"/>
            </w:pPr>
            <w:r>
              <w:t>obvezni predmet modula/Obligatory subject of the module</w:t>
            </w:r>
          </w:p>
        </w:tc>
      </w:tr>
    </w:tbl>
    <w:p w14:paraId="029A71A0" w14:textId="77777777" w:rsidR="009B67FD" w:rsidRDefault="009B67FD"/>
    <w:tbl>
      <w:tblPr>
        <w:tblStyle w:val="VerticalTable"/>
        <w:tblW w:w="5000" w:type="pct"/>
        <w:tblLook w:val="04A0" w:firstRow="1" w:lastRow="0" w:firstColumn="1" w:lastColumn="0" w:noHBand="0" w:noVBand="1"/>
      </w:tblPr>
      <w:tblGrid>
        <w:gridCol w:w="3082"/>
        <w:gridCol w:w="3083"/>
        <w:gridCol w:w="3468"/>
      </w:tblGrid>
      <w:tr w:rsidR="009B67FD" w14:paraId="55A09B19" w14:textId="77777777" w:rsidTr="009B67FD">
        <w:tc>
          <w:tcPr>
            <w:cnfStyle w:val="001000000000" w:firstRow="0" w:lastRow="0" w:firstColumn="1" w:lastColumn="0" w:oddVBand="0" w:evenVBand="0" w:oddHBand="0" w:evenHBand="0" w:firstRowFirstColumn="0" w:firstRowLastColumn="0" w:lastRowFirstColumn="0" w:lastRowLastColumn="0"/>
            <w:tcW w:w="1600" w:type="pct"/>
          </w:tcPr>
          <w:p w14:paraId="7A05AF95" w14:textId="77777777" w:rsidR="009B67FD" w:rsidRDefault="002E0EC4">
            <w:r>
              <w:t>Jeziki/Languages:</w:t>
            </w:r>
          </w:p>
        </w:tc>
        <w:tc>
          <w:tcPr>
            <w:tcW w:w="1600" w:type="pct"/>
          </w:tcPr>
          <w:p w14:paraId="472DEAA1" w14:textId="77777777" w:rsidR="009B67FD" w:rsidRDefault="002E0EC4">
            <w:pPr>
              <w:cnfStyle w:val="000000000000" w:firstRow="0" w:lastRow="0" w:firstColumn="0" w:lastColumn="0" w:oddVBand="0" w:evenVBand="0" w:oddHBand="0" w:evenHBand="0" w:firstRowFirstColumn="0" w:firstRowLastColumn="0" w:lastRowFirstColumn="0" w:lastRowLastColumn="0"/>
            </w:pPr>
            <w:r>
              <w:t>Predavanja/Lectures:</w:t>
            </w:r>
          </w:p>
        </w:tc>
        <w:tc>
          <w:tcPr>
            <w:tcW w:w="1800" w:type="pct"/>
          </w:tcPr>
          <w:p w14:paraId="478F0ADD" w14:textId="77777777" w:rsidR="009B67FD" w:rsidRDefault="002E0EC4">
            <w:pPr>
              <w:cnfStyle w:val="000000000000" w:firstRow="0" w:lastRow="0" w:firstColumn="0" w:lastColumn="0" w:oddVBand="0" w:evenVBand="0" w:oddHBand="0" w:evenHBand="0" w:firstRowFirstColumn="0" w:firstRowLastColumn="0" w:lastRowFirstColumn="0" w:lastRowLastColumn="0"/>
            </w:pPr>
            <w:r>
              <w:t xml:space="preserve">Slovenščina                    </w:t>
            </w:r>
          </w:p>
        </w:tc>
      </w:tr>
      <w:tr w:rsidR="009B67FD" w14:paraId="509FF29E" w14:textId="77777777" w:rsidTr="009B67FD">
        <w:tc>
          <w:tcPr>
            <w:cnfStyle w:val="001000000000" w:firstRow="0" w:lastRow="0" w:firstColumn="1" w:lastColumn="0" w:oddVBand="0" w:evenVBand="0" w:oddHBand="0" w:evenHBand="0" w:firstRowFirstColumn="0" w:firstRowLastColumn="0" w:lastRowFirstColumn="0" w:lastRowLastColumn="0"/>
            <w:tcW w:w="1600" w:type="pct"/>
          </w:tcPr>
          <w:p w14:paraId="0D6AED9E" w14:textId="77777777" w:rsidR="009B67FD" w:rsidRDefault="009B67FD"/>
        </w:tc>
        <w:tc>
          <w:tcPr>
            <w:tcW w:w="1600" w:type="pct"/>
          </w:tcPr>
          <w:p w14:paraId="5A2A9094" w14:textId="77777777" w:rsidR="009B67FD" w:rsidRDefault="002E0EC4">
            <w:pPr>
              <w:cnfStyle w:val="000000000000" w:firstRow="0" w:lastRow="0" w:firstColumn="0" w:lastColumn="0" w:oddVBand="0" w:evenVBand="0" w:oddHBand="0" w:evenHBand="0" w:firstRowFirstColumn="0" w:firstRowLastColumn="0" w:lastRowFirstColumn="0" w:lastRowLastColumn="0"/>
            </w:pPr>
            <w:r>
              <w:t>Vaje/Tutorial:</w:t>
            </w:r>
          </w:p>
        </w:tc>
        <w:tc>
          <w:tcPr>
            <w:tcW w:w="1800" w:type="pct"/>
          </w:tcPr>
          <w:p w14:paraId="2DF950DD" w14:textId="77777777" w:rsidR="009B67FD" w:rsidRDefault="002E0EC4">
            <w:pPr>
              <w:cnfStyle w:val="000000000000" w:firstRow="0" w:lastRow="0" w:firstColumn="0" w:lastColumn="0" w:oddVBand="0" w:evenVBand="0" w:oddHBand="0" w:evenHBand="0" w:firstRowFirstColumn="0" w:firstRowLastColumn="0" w:lastRowFirstColumn="0" w:lastRowLastColumn="0"/>
            </w:pPr>
            <w:r>
              <w:t xml:space="preserve">Slovenščina                    </w:t>
            </w:r>
          </w:p>
        </w:tc>
      </w:tr>
    </w:tbl>
    <w:p w14:paraId="232B8A6A" w14:textId="77777777" w:rsidR="009B67FD" w:rsidRDefault="009B67FD"/>
    <w:tbl>
      <w:tblPr>
        <w:tblStyle w:val="DefaultTable"/>
        <w:tblW w:w="5000" w:type="pct"/>
        <w:tblLook w:val="04A0" w:firstRow="1" w:lastRow="0" w:firstColumn="1" w:lastColumn="0" w:noHBand="0" w:noVBand="1"/>
      </w:tblPr>
      <w:tblGrid>
        <w:gridCol w:w="4819"/>
        <w:gridCol w:w="4819"/>
      </w:tblGrid>
      <w:tr w:rsidR="009B67FD" w14:paraId="7BEE5DEB" w14:textId="77777777" w:rsidTr="009B67FD">
        <w:trPr>
          <w:cnfStyle w:val="100000000000" w:firstRow="1" w:lastRow="0" w:firstColumn="0" w:lastColumn="0" w:oddVBand="0" w:evenVBand="0" w:oddHBand="0" w:evenHBand="0" w:firstRowFirstColumn="0" w:firstRowLastColumn="0" w:lastRowFirstColumn="0" w:lastRowLastColumn="0"/>
        </w:trPr>
        <w:tc>
          <w:tcPr>
            <w:tcW w:w="2500" w:type="pct"/>
          </w:tcPr>
          <w:p w14:paraId="5869D761" w14:textId="77777777" w:rsidR="009B67FD" w:rsidRDefault="002E0EC4">
            <w:r>
              <w:t>Pogoji za vključitev v delo oz. za opravljanje študijskih obveznosti:</w:t>
            </w:r>
          </w:p>
        </w:tc>
        <w:tc>
          <w:tcPr>
            <w:tcW w:w="2500" w:type="pct"/>
          </w:tcPr>
          <w:p w14:paraId="6F787A07" w14:textId="77777777" w:rsidR="009B67FD" w:rsidRDefault="002E0EC4">
            <w:r>
              <w:t>Prerequisites:</w:t>
            </w:r>
          </w:p>
        </w:tc>
      </w:tr>
      <w:tr w:rsidR="009B67FD" w14:paraId="6302BAF9" w14:textId="77777777">
        <w:tc>
          <w:tcPr>
            <w:tcW w:w="0" w:type="auto"/>
          </w:tcPr>
          <w:p w14:paraId="0295F87C" w14:textId="77777777" w:rsidR="009B67FD" w:rsidRDefault="002E0EC4">
            <w:r>
              <w:t>Predpostavlja se znanje civilnega in gospodarskega prava ter prava EU na dodiplomski in magistrski ravni.</w:t>
            </w:r>
          </w:p>
        </w:tc>
        <w:tc>
          <w:tcPr>
            <w:tcW w:w="0" w:type="auto"/>
          </w:tcPr>
          <w:p w14:paraId="4E6A671E" w14:textId="77777777" w:rsidR="009B67FD" w:rsidRDefault="002E0EC4">
            <w:r>
              <w:t>Knowledge of private and commercial law and of EU law / I. and II. level study is assumed.</w:t>
            </w:r>
          </w:p>
        </w:tc>
      </w:tr>
    </w:tbl>
    <w:p w14:paraId="7ACBC176" w14:textId="77777777" w:rsidR="009B67FD" w:rsidRDefault="009B67FD"/>
    <w:tbl>
      <w:tblPr>
        <w:tblStyle w:val="DefaultTable"/>
        <w:tblW w:w="5000" w:type="pct"/>
        <w:tblLook w:val="04A0" w:firstRow="1" w:lastRow="0" w:firstColumn="1" w:lastColumn="0" w:noHBand="0" w:noVBand="1"/>
      </w:tblPr>
      <w:tblGrid>
        <w:gridCol w:w="4819"/>
        <w:gridCol w:w="4819"/>
      </w:tblGrid>
      <w:tr w:rsidR="009B67FD" w14:paraId="0D7BC706" w14:textId="77777777" w:rsidTr="009B67FD">
        <w:trPr>
          <w:cnfStyle w:val="100000000000" w:firstRow="1" w:lastRow="0" w:firstColumn="0" w:lastColumn="0" w:oddVBand="0" w:evenVBand="0" w:oddHBand="0" w:evenHBand="0" w:firstRowFirstColumn="0" w:firstRowLastColumn="0" w:lastRowFirstColumn="0" w:lastRowLastColumn="0"/>
        </w:trPr>
        <w:tc>
          <w:tcPr>
            <w:tcW w:w="2500" w:type="pct"/>
          </w:tcPr>
          <w:p w14:paraId="75C9D85B" w14:textId="77777777" w:rsidR="009B67FD" w:rsidRDefault="002E0EC4">
            <w:r>
              <w:t>Vsebina:</w:t>
            </w:r>
          </w:p>
        </w:tc>
        <w:tc>
          <w:tcPr>
            <w:tcW w:w="2500" w:type="pct"/>
          </w:tcPr>
          <w:p w14:paraId="5B7E0B13" w14:textId="77777777" w:rsidR="009B67FD" w:rsidRDefault="002E0EC4">
            <w:r>
              <w:t>Content (Syllabus outline):</w:t>
            </w:r>
          </w:p>
        </w:tc>
      </w:tr>
      <w:tr w:rsidR="009B67FD" w14:paraId="59D45AA9" w14:textId="77777777">
        <w:tc>
          <w:tcPr>
            <w:tcW w:w="0" w:type="auto"/>
          </w:tcPr>
          <w:p w14:paraId="608EF2F7" w14:textId="77777777" w:rsidR="009B67FD" w:rsidRDefault="002E0EC4">
            <w:r>
              <w:t>Vsebina predmeta:</w:t>
            </w:r>
          </w:p>
          <w:p w14:paraId="670BDA00" w14:textId="77777777" w:rsidR="009B67FD" w:rsidRDefault="002E0EC4">
            <w:r>
              <w:t>I. Pravo EU kot derivat nacionalnih pravnih ureditev in kot fons et origo zanje</w:t>
            </w:r>
          </w:p>
          <w:p w14:paraId="4CB71DE5" w14:textId="77777777" w:rsidR="009B67FD" w:rsidRDefault="002E0EC4">
            <w:r>
              <w:t>II. Izbrana poglavja konkurenčnega prava</w:t>
            </w:r>
          </w:p>
          <w:p w14:paraId="2802C99D" w14:textId="77777777" w:rsidR="009B67FD" w:rsidRDefault="002E0EC4">
            <w:pPr>
              <w:pStyle w:val="Odstavekseznama"/>
              <w:numPr>
                <w:ilvl w:val="0"/>
                <w:numId w:val="1"/>
              </w:numPr>
              <w:ind w:left="357" w:hanging="357"/>
            </w:pPr>
            <w:r>
              <w:t>Paradigma konkurenčnega prava EU</w:t>
            </w:r>
          </w:p>
          <w:p w14:paraId="0DFD4356" w14:textId="77777777" w:rsidR="009B67FD" w:rsidRDefault="002E0EC4">
            <w:pPr>
              <w:pStyle w:val="Odstavekseznama"/>
              <w:numPr>
                <w:ilvl w:val="0"/>
                <w:numId w:val="1"/>
              </w:numPr>
              <w:ind w:left="357" w:hanging="357"/>
            </w:pPr>
            <w:r>
              <w:t>Izbrane teme: Omejevanje konkurence</w:t>
            </w:r>
          </w:p>
          <w:p w14:paraId="480CEFAA" w14:textId="77777777" w:rsidR="009B67FD" w:rsidRDefault="002E0EC4">
            <w:pPr>
              <w:pStyle w:val="Odstavekseznama"/>
              <w:numPr>
                <w:ilvl w:val="0"/>
                <w:numId w:val="1"/>
              </w:numPr>
              <w:ind w:left="357" w:hanging="357"/>
            </w:pPr>
            <w:r>
              <w:t>Izbrane teme: Koncentracije</w:t>
            </w:r>
          </w:p>
          <w:p w14:paraId="33533A27" w14:textId="77777777" w:rsidR="009B67FD" w:rsidRDefault="002E0EC4">
            <w:pPr>
              <w:pStyle w:val="Odstavekseznama"/>
              <w:numPr>
                <w:ilvl w:val="0"/>
                <w:numId w:val="1"/>
              </w:numPr>
              <w:ind w:left="357" w:hanging="357"/>
            </w:pPr>
            <w:r>
              <w:t>Konkurenca v sektorjih (banke, telekomunikacije, …)</w:t>
            </w:r>
          </w:p>
          <w:p w14:paraId="1AEACB81" w14:textId="77777777" w:rsidR="009B67FD" w:rsidRDefault="002E0EC4">
            <w:pPr>
              <w:pStyle w:val="Odstavekseznama"/>
              <w:numPr>
                <w:ilvl w:val="0"/>
                <w:numId w:val="1"/>
              </w:numPr>
              <w:ind w:left="357" w:hanging="357"/>
            </w:pPr>
            <w:r>
              <w:t>Izbrane teme: Presečne teme: nelojalna konkurenca/ antitrust</w:t>
            </w:r>
          </w:p>
          <w:p w14:paraId="3C8DC577" w14:textId="77777777" w:rsidR="009B67FD" w:rsidRDefault="002E0EC4">
            <w:pPr>
              <w:pStyle w:val="Odstavekseznama"/>
              <w:numPr>
                <w:ilvl w:val="0"/>
                <w:numId w:val="1"/>
              </w:numPr>
              <w:ind w:left="357" w:hanging="357"/>
            </w:pPr>
            <w:r>
              <w:t>Reforma antitrusta in koncentracij v EU</w:t>
            </w:r>
          </w:p>
          <w:p w14:paraId="25DD4983" w14:textId="77777777" w:rsidR="009B67FD" w:rsidRDefault="002E0EC4">
            <w:r>
              <w:t>III. Izbrana poglavja ekonomskih svoboščin</w:t>
            </w:r>
          </w:p>
          <w:p w14:paraId="3559F3EB" w14:textId="77777777" w:rsidR="009B67FD" w:rsidRDefault="002E0EC4">
            <w:pPr>
              <w:pStyle w:val="Odstavekseznama"/>
              <w:numPr>
                <w:ilvl w:val="0"/>
                <w:numId w:val="2"/>
              </w:numPr>
              <w:ind w:left="357" w:hanging="357"/>
            </w:pPr>
            <w:r>
              <w:t>Temelji skupnega trga</w:t>
            </w:r>
          </w:p>
          <w:p w14:paraId="56EF433B" w14:textId="77777777" w:rsidR="009B67FD" w:rsidRDefault="002E0EC4">
            <w:pPr>
              <w:pStyle w:val="Odstavekseznama"/>
              <w:numPr>
                <w:ilvl w:val="0"/>
                <w:numId w:val="2"/>
              </w:numPr>
              <w:ind w:left="357" w:hanging="357"/>
            </w:pPr>
            <w:r>
              <w:t>Blago</w:t>
            </w:r>
          </w:p>
          <w:p w14:paraId="33F30580" w14:textId="77777777" w:rsidR="009B67FD" w:rsidRDefault="002E0EC4">
            <w:pPr>
              <w:pStyle w:val="Odstavekseznama"/>
              <w:numPr>
                <w:ilvl w:val="0"/>
                <w:numId w:val="2"/>
              </w:numPr>
              <w:ind w:left="357" w:hanging="357"/>
            </w:pPr>
            <w:r>
              <w:t>Storitve</w:t>
            </w:r>
          </w:p>
          <w:p w14:paraId="0D26DBE4" w14:textId="77777777" w:rsidR="009B67FD" w:rsidRDefault="002E0EC4">
            <w:pPr>
              <w:pStyle w:val="Odstavekseznama"/>
              <w:numPr>
                <w:ilvl w:val="0"/>
                <w:numId w:val="2"/>
              </w:numPr>
              <w:ind w:left="357" w:hanging="357"/>
            </w:pPr>
            <w:r>
              <w:lastRenderedPageBreak/>
              <w:t>Delavci</w:t>
            </w:r>
          </w:p>
          <w:p w14:paraId="26CE6BE2" w14:textId="77777777" w:rsidR="009B67FD" w:rsidRDefault="002E0EC4">
            <w:pPr>
              <w:pStyle w:val="Odstavekseznama"/>
              <w:numPr>
                <w:ilvl w:val="1"/>
                <w:numId w:val="3"/>
              </w:numPr>
              <w:ind w:left="714" w:hanging="357"/>
            </w:pPr>
            <w:r>
              <w:t>Izbrano poglavje: dostop do zaposlitve</w:t>
            </w:r>
          </w:p>
          <w:p w14:paraId="580D7D77" w14:textId="77777777" w:rsidR="009B67FD" w:rsidRDefault="002E0EC4">
            <w:pPr>
              <w:pStyle w:val="Odstavekseznama"/>
              <w:numPr>
                <w:ilvl w:val="1"/>
                <w:numId w:val="3"/>
              </w:numPr>
              <w:ind w:left="714" w:hanging="357"/>
            </w:pPr>
            <w:r>
              <w:t>Izbrano poglavje: zaposlovanje v javnem sektorju</w:t>
            </w:r>
          </w:p>
          <w:p w14:paraId="18931932" w14:textId="77777777" w:rsidR="009B67FD" w:rsidRDefault="002E0EC4">
            <w:pPr>
              <w:pStyle w:val="Odstavekseznama"/>
              <w:numPr>
                <w:ilvl w:val="1"/>
                <w:numId w:val="3"/>
              </w:numPr>
              <w:ind w:left="714" w:hanging="357"/>
            </w:pPr>
            <w:r>
              <w:t>Izbrano poglavje: nogomet in svoboda gibanja</w:t>
            </w:r>
          </w:p>
          <w:p w14:paraId="5E3A5A45" w14:textId="77777777" w:rsidR="009B67FD" w:rsidRDefault="002E0EC4">
            <w:pPr>
              <w:pStyle w:val="Odstavekseznama"/>
              <w:numPr>
                <w:ilvl w:val="1"/>
                <w:numId w:val="3"/>
              </w:numPr>
              <w:ind w:left="714" w:hanging="357"/>
            </w:pPr>
            <w:r>
              <w:t>Izbrano poglavje: priznavanje diplom</w:t>
            </w:r>
          </w:p>
          <w:p w14:paraId="7FA5F15D" w14:textId="77777777" w:rsidR="009B67FD" w:rsidRDefault="002E0EC4">
            <w:pPr>
              <w:pStyle w:val="Odstavekseznama"/>
              <w:numPr>
                <w:ilvl w:val="3"/>
                <w:numId w:val="4"/>
              </w:numPr>
              <w:ind w:left="1428" w:hanging="357"/>
            </w:pPr>
            <w:r>
              <w:t> </w:t>
            </w:r>
          </w:p>
          <w:p w14:paraId="1C2976FF" w14:textId="77777777" w:rsidR="009B67FD" w:rsidRDefault="002E0EC4">
            <w:pPr>
              <w:pStyle w:val="Odstavekseznama"/>
              <w:numPr>
                <w:ilvl w:val="0"/>
                <w:numId w:val="2"/>
              </w:numPr>
              <w:ind w:left="357" w:hanging="357"/>
            </w:pPr>
            <w:r>
              <w:t>Kapital</w:t>
            </w:r>
          </w:p>
          <w:p w14:paraId="7DC6D200" w14:textId="77777777" w:rsidR="009B67FD" w:rsidRDefault="002E0EC4">
            <w:pPr>
              <w:pStyle w:val="Odstavekseznama"/>
              <w:numPr>
                <w:ilvl w:val="0"/>
                <w:numId w:val="2"/>
              </w:numPr>
              <w:ind w:left="357" w:hanging="357"/>
            </w:pPr>
            <w:r>
              <w:t>Plačila</w:t>
            </w:r>
          </w:p>
          <w:p w14:paraId="4F734123" w14:textId="77777777" w:rsidR="009B67FD" w:rsidRDefault="002E0EC4">
            <w:pPr>
              <w:pStyle w:val="Odstavekseznama"/>
              <w:numPr>
                <w:ilvl w:val="0"/>
                <w:numId w:val="2"/>
              </w:numPr>
              <w:ind w:left="357" w:hanging="357"/>
            </w:pPr>
            <w:r>
              <w:t>Sedež</w:t>
            </w:r>
          </w:p>
          <w:p w14:paraId="1396AE5D" w14:textId="77777777" w:rsidR="009B67FD" w:rsidRDefault="002E0EC4">
            <w:r>
              <w:t>IV. Izbrana poglavja civilnega prava</w:t>
            </w:r>
          </w:p>
          <w:p w14:paraId="16ABE6AD" w14:textId="77777777" w:rsidR="009B67FD" w:rsidRDefault="002E0EC4">
            <w:pPr>
              <w:pStyle w:val="Odstavekseznama"/>
              <w:numPr>
                <w:ilvl w:val="0"/>
                <w:numId w:val="5"/>
              </w:numPr>
              <w:ind w:left="357" w:hanging="357"/>
            </w:pPr>
            <w:r>
              <w:t>Evropeizacija zasebnega prava</w:t>
            </w:r>
          </w:p>
          <w:p w14:paraId="5BBD39DC" w14:textId="77777777" w:rsidR="009B67FD" w:rsidRDefault="002E0EC4">
            <w:pPr>
              <w:pStyle w:val="Odstavekseznama"/>
              <w:numPr>
                <w:ilvl w:val="1"/>
                <w:numId w:val="6"/>
              </w:numPr>
              <w:ind w:left="714" w:hanging="357"/>
            </w:pPr>
            <w:r>
              <w:t>Ozadje</w:t>
            </w:r>
          </w:p>
          <w:p w14:paraId="0561A3E9" w14:textId="77777777" w:rsidR="009B67FD" w:rsidRDefault="002E0EC4">
            <w:pPr>
              <w:pStyle w:val="Odstavekseznama"/>
              <w:numPr>
                <w:ilvl w:val="1"/>
                <w:numId w:val="6"/>
              </w:numPr>
              <w:ind w:left="714" w:hanging="357"/>
            </w:pPr>
            <w:r>
              <w:t>Pravo ES na področju zasebnega prava: primarni in sekundarni pravni viri, sodna praksa Sodišča ES</w:t>
            </w:r>
          </w:p>
          <w:p w14:paraId="0DD9E635" w14:textId="77777777" w:rsidR="009B67FD" w:rsidRDefault="002E0EC4">
            <w:pPr>
              <w:pStyle w:val="Odstavekseznama"/>
              <w:numPr>
                <w:ilvl w:val="1"/>
                <w:numId w:val="6"/>
              </w:numPr>
              <w:ind w:left="714" w:hanging="357"/>
            </w:pPr>
            <w:r>
              <w:t>Projekti poenotenja</w:t>
            </w:r>
          </w:p>
          <w:p w14:paraId="7B613A72" w14:textId="77777777" w:rsidR="009B67FD" w:rsidRDefault="002E0EC4">
            <w:pPr>
              <w:pStyle w:val="Odstavekseznama"/>
              <w:numPr>
                <w:ilvl w:val="1"/>
                <w:numId w:val="6"/>
              </w:numPr>
              <w:ind w:left="714" w:hanging="357"/>
            </w:pPr>
            <w:r>
              <w:t>Razmišljanja o prihodnosti</w:t>
            </w:r>
          </w:p>
          <w:p w14:paraId="5C0C1449" w14:textId="77777777" w:rsidR="009B67FD" w:rsidRDefault="002E0EC4">
            <w:r>
              <w:t>V okviru izbranih poglavij evropskega civilnega prava se obravnavajo predvsem ozadje, aktualni projekti ter obeti za prihodnost najpomembnejše razvojne tendence oz. procesa v današnjem civilnem pravu – poenotenja evropskega zasebnega (civilnega) prava in nastajanja nove evropske (civilno) pravne kulture. Ta proces ima dve plati: obstoječe pravo EU na področju zasebnega prava (zasebnopravni acquis communautaire), ki je doseglo že precejšen volumen in je prepleteno z nacionalnim pravom, ter znanstveni projekt</w:t>
            </w:r>
            <w:r>
              <w:t>i poenotenja v smislu ameriških restatements (npr. Principles of European Contract Law, Principles of Existing EC- Private law – t.i. Acquis Principles). Največji aktualni project Evropske Komisije, ki združuje oba omenjena vidika, pa je Common Frame of Reference (Skupni referenčni okvir).</w:t>
            </w:r>
          </w:p>
          <w:p w14:paraId="56730B83" w14:textId="77777777" w:rsidR="009B67FD" w:rsidRDefault="002E0EC4">
            <w:r>
              <w:t>Študijski program se prilagaja aktualnim problemom z navedenih področjih in predvsem razvoju novejše zakonodaje in sodne prakse. Centralna pozornost bo namenjena specialnim temam in posebnim zakonskim ureditvam, ki niso predmet splošne obravnave na prvi in drugi stopnji študija.</w:t>
            </w:r>
          </w:p>
        </w:tc>
        <w:tc>
          <w:tcPr>
            <w:tcW w:w="0" w:type="auto"/>
          </w:tcPr>
          <w:p w14:paraId="168D7603" w14:textId="77777777" w:rsidR="009B67FD" w:rsidRDefault="002E0EC4">
            <w:r>
              <w:lastRenderedPageBreak/>
              <w:t>Course contents:</w:t>
            </w:r>
            <w:r>
              <w:br/>
              <w:t>I. EU law as a derivative of national legal systems and the fons et origo like them</w:t>
            </w:r>
          </w:p>
          <w:p w14:paraId="4BF50743" w14:textId="77777777" w:rsidR="009B67FD" w:rsidRDefault="002E0EC4">
            <w:r>
              <w:t>II. Competition law</w:t>
            </w:r>
          </w:p>
          <w:p w14:paraId="12247BB2" w14:textId="77777777" w:rsidR="009B67FD" w:rsidRDefault="002E0EC4">
            <w:pPr>
              <w:pStyle w:val="Odstavekseznama"/>
              <w:numPr>
                <w:ilvl w:val="0"/>
                <w:numId w:val="7"/>
              </w:numPr>
              <w:ind w:left="357" w:hanging="357"/>
            </w:pPr>
            <w:r>
              <w:t>The paradigm of EU competition law</w:t>
            </w:r>
          </w:p>
          <w:p w14:paraId="1CAA13CA" w14:textId="77777777" w:rsidR="009B67FD" w:rsidRDefault="002E0EC4">
            <w:pPr>
              <w:pStyle w:val="Odstavekseznama"/>
              <w:numPr>
                <w:ilvl w:val="0"/>
                <w:numId w:val="7"/>
              </w:numPr>
              <w:ind w:left="357" w:hanging="357"/>
            </w:pPr>
            <w:r>
              <w:t>Selected topics: Antitrust</w:t>
            </w:r>
          </w:p>
          <w:p w14:paraId="43C5E1BB" w14:textId="77777777" w:rsidR="009B67FD" w:rsidRDefault="002E0EC4">
            <w:pPr>
              <w:pStyle w:val="Odstavekseznama"/>
              <w:numPr>
                <w:ilvl w:val="0"/>
                <w:numId w:val="7"/>
              </w:numPr>
              <w:ind w:left="357" w:hanging="357"/>
            </w:pPr>
            <w:r>
              <w:t>Selected Topics: Concentrations</w:t>
            </w:r>
          </w:p>
          <w:p w14:paraId="1971A95D" w14:textId="77777777" w:rsidR="009B67FD" w:rsidRDefault="002E0EC4">
            <w:pPr>
              <w:pStyle w:val="Odstavekseznama"/>
              <w:numPr>
                <w:ilvl w:val="0"/>
                <w:numId w:val="7"/>
              </w:numPr>
              <w:ind w:left="357" w:hanging="357"/>
            </w:pPr>
            <w:r>
              <w:t>Competition in individual sectors (banks, telecommunications, ...)</w:t>
            </w:r>
          </w:p>
          <w:p w14:paraId="387B13E0" w14:textId="77777777" w:rsidR="009B67FD" w:rsidRDefault="002E0EC4">
            <w:pPr>
              <w:pStyle w:val="Odstavekseznama"/>
              <w:numPr>
                <w:ilvl w:val="0"/>
                <w:numId w:val="7"/>
              </w:numPr>
              <w:ind w:left="357" w:hanging="357"/>
            </w:pPr>
            <w:r>
              <w:t>Selected Topics: Crosscut topics: unfair competition / antitrust</w:t>
            </w:r>
          </w:p>
          <w:p w14:paraId="64B64FF7" w14:textId="77777777" w:rsidR="009B67FD" w:rsidRDefault="002E0EC4">
            <w:pPr>
              <w:pStyle w:val="Odstavekseznama"/>
              <w:numPr>
                <w:ilvl w:val="0"/>
                <w:numId w:val="7"/>
              </w:numPr>
              <w:ind w:left="357" w:hanging="357"/>
            </w:pPr>
            <w:r>
              <w:t>The reform of antitrust and concentrations in the EU</w:t>
            </w:r>
          </w:p>
          <w:p w14:paraId="41269D88" w14:textId="77777777" w:rsidR="009B67FD" w:rsidRDefault="002E0EC4">
            <w:r>
              <w:t>III. Topics economic freedoms</w:t>
            </w:r>
          </w:p>
          <w:p w14:paraId="01764C57" w14:textId="77777777" w:rsidR="009B67FD" w:rsidRDefault="002E0EC4">
            <w:pPr>
              <w:pStyle w:val="Odstavekseznama"/>
              <w:numPr>
                <w:ilvl w:val="0"/>
                <w:numId w:val="8"/>
              </w:numPr>
              <w:ind w:left="357" w:hanging="357"/>
            </w:pPr>
            <w:r>
              <w:t>The foundations of the common market</w:t>
            </w:r>
          </w:p>
          <w:p w14:paraId="325B6898" w14:textId="77777777" w:rsidR="009B67FD" w:rsidRDefault="002E0EC4">
            <w:pPr>
              <w:pStyle w:val="Odstavekseznama"/>
              <w:numPr>
                <w:ilvl w:val="0"/>
                <w:numId w:val="8"/>
              </w:numPr>
              <w:ind w:left="357" w:hanging="357"/>
            </w:pPr>
            <w:r>
              <w:t>Goods</w:t>
            </w:r>
          </w:p>
          <w:p w14:paraId="77C85187" w14:textId="77777777" w:rsidR="009B67FD" w:rsidRDefault="002E0EC4">
            <w:pPr>
              <w:pStyle w:val="Odstavekseznama"/>
              <w:numPr>
                <w:ilvl w:val="0"/>
                <w:numId w:val="8"/>
              </w:numPr>
              <w:ind w:left="357" w:hanging="357"/>
            </w:pPr>
            <w:r>
              <w:lastRenderedPageBreak/>
              <w:t>Services</w:t>
            </w:r>
          </w:p>
          <w:p w14:paraId="5AECAA3B" w14:textId="77777777" w:rsidR="009B67FD" w:rsidRDefault="002E0EC4">
            <w:pPr>
              <w:pStyle w:val="Odstavekseznama"/>
              <w:numPr>
                <w:ilvl w:val="0"/>
                <w:numId w:val="8"/>
              </w:numPr>
              <w:ind w:left="357" w:hanging="357"/>
            </w:pPr>
            <w:r>
              <w:t>Workers</w:t>
            </w:r>
          </w:p>
          <w:p w14:paraId="444B772B" w14:textId="77777777" w:rsidR="009B67FD" w:rsidRDefault="002E0EC4">
            <w:pPr>
              <w:pStyle w:val="Odstavekseznama"/>
              <w:numPr>
                <w:ilvl w:val="0"/>
                <w:numId w:val="9"/>
              </w:numPr>
              <w:ind w:left="357" w:hanging="357"/>
            </w:pPr>
            <w:r>
              <w:t> Selected topics: access to employment</w:t>
            </w:r>
          </w:p>
          <w:p w14:paraId="1E278F61" w14:textId="77777777" w:rsidR="009B67FD" w:rsidRDefault="002E0EC4">
            <w:pPr>
              <w:pStyle w:val="Odstavekseznama"/>
              <w:numPr>
                <w:ilvl w:val="0"/>
                <w:numId w:val="9"/>
              </w:numPr>
              <w:ind w:left="357" w:hanging="357"/>
            </w:pPr>
            <w:r>
              <w:t>  Selected topics: Employment in the public sector</w:t>
            </w:r>
          </w:p>
          <w:p w14:paraId="6EB43F26" w14:textId="77777777" w:rsidR="009B67FD" w:rsidRDefault="002E0EC4">
            <w:pPr>
              <w:pStyle w:val="Odstavekseznama"/>
              <w:numPr>
                <w:ilvl w:val="0"/>
                <w:numId w:val="9"/>
              </w:numPr>
              <w:ind w:left="357" w:hanging="357"/>
            </w:pPr>
            <w:r>
              <w:t>  Selected topics football and freedom of movement</w:t>
            </w:r>
          </w:p>
          <w:p w14:paraId="13E77684" w14:textId="77777777" w:rsidR="009B67FD" w:rsidRDefault="002E0EC4">
            <w:pPr>
              <w:pStyle w:val="Odstavekseznama"/>
              <w:numPr>
                <w:ilvl w:val="0"/>
                <w:numId w:val="9"/>
              </w:numPr>
              <w:ind w:left="357" w:hanging="357"/>
            </w:pPr>
            <w:r>
              <w:t>  Selected topics: recognition of diplomas</w:t>
            </w:r>
          </w:p>
          <w:p w14:paraId="31BA5409" w14:textId="77777777" w:rsidR="009B67FD" w:rsidRDefault="002E0EC4">
            <w:r>
              <w:t>        5. Capital</w:t>
            </w:r>
          </w:p>
          <w:p w14:paraId="5436ABF1" w14:textId="77777777" w:rsidR="009B67FD" w:rsidRDefault="002E0EC4">
            <w:r>
              <w:t>        6. Payments</w:t>
            </w:r>
          </w:p>
          <w:p w14:paraId="506F321D" w14:textId="77777777" w:rsidR="009B67FD" w:rsidRDefault="002E0EC4">
            <w:r>
              <w:t>        7. Right to establishment</w:t>
            </w:r>
          </w:p>
          <w:p w14:paraId="54E25C26" w14:textId="77777777" w:rsidR="009B67FD" w:rsidRDefault="002E0EC4">
            <w:r>
              <w:t>IV. Selected topics of private law</w:t>
            </w:r>
          </w:p>
          <w:p w14:paraId="0AF600F0" w14:textId="77777777" w:rsidR="009B67FD" w:rsidRDefault="002E0EC4">
            <w:pPr>
              <w:pStyle w:val="Odstavekseznama"/>
              <w:numPr>
                <w:ilvl w:val="0"/>
                <w:numId w:val="10"/>
              </w:numPr>
              <w:ind w:left="357" w:hanging="357"/>
            </w:pPr>
            <w:r>
              <w:t>The Europeanisation of private law</w:t>
            </w:r>
          </w:p>
          <w:p w14:paraId="1A8EB694" w14:textId="77777777" w:rsidR="009B67FD" w:rsidRDefault="002E0EC4">
            <w:pPr>
              <w:pStyle w:val="Odstavekseznama"/>
              <w:numPr>
                <w:ilvl w:val="0"/>
                <w:numId w:val="11"/>
              </w:numPr>
              <w:ind w:left="357" w:hanging="357"/>
            </w:pPr>
            <w:r>
              <w:t> Background</w:t>
            </w:r>
          </w:p>
          <w:p w14:paraId="6FFF18DD" w14:textId="77777777" w:rsidR="009B67FD" w:rsidRDefault="002E0EC4">
            <w:pPr>
              <w:pStyle w:val="Odstavekseznama"/>
              <w:numPr>
                <w:ilvl w:val="0"/>
                <w:numId w:val="11"/>
              </w:numPr>
              <w:ind w:left="357" w:hanging="357"/>
            </w:pPr>
            <w:r>
              <w:t> EC law in the field of private law: primary and secondary sources of law, the case law of the ECJ</w:t>
            </w:r>
          </w:p>
          <w:p w14:paraId="2869D2F8" w14:textId="77777777" w:rsidR="009B67FD" w:rsidRDefault="002E0EC4">
            <w:pPr>
              <w:pStyle w:val="Odstavekseznama"/>
              <w:numPr>
                <w:ilvl w:val="0"/>
                <w:numId w:val="11"/>
              </w:numPr>
              <w:ind w:left="357" w:hanging="357"/>
            </w:pPr>
            <w:r>
              <w:t> Projects unification</w:t>
            </w:r>
          </w:p>
          <w:p w14:paraId="7ECF3128" w14:textId="77777777" w:rsidR="009B67FD" w:rsidRDefault="002E0EC4">
            <w:pPr>
              <w:pStyle w:val="Odstavekseznama"/>
              <w:numPr>
                <w:ilvl w:val="0"/>
                <w:numId w:val="11"/>
              </w:numPr>
              <w:ind w:left="357" w:hanging="357"/>
            </w:pPr>
            <w:r>
              <w:t> Reflections on the Future</w:t>
            </w:r>
          </w:p>
          <w:p w14:paraId="6D9DCD28" w14:textId="77777777" w:rsidR="009B67FD" w:rsidRDefault="002E0EC4">
            <w:r>
              <w:t>In the context of selected chapters of European private law the following shall be dealt: the background, current projects and future prospects of the main developments and trends. process in today's civil law - the unification of European private (civil) law and the emergence of new European (civil) legal culture. This process has two sides: the existing EU law in the field of private law (private law acquis communautaire), which has already resulted in significant volume and intertwined with national law,</w:t>
            </w:r>
            <w:r>
              <w:t xml:space="preserve"> as well as scientific projects of uniformity in terms of American restatements (eg. Principles of European Contract Law, Principles Existing EC- of Private law - the so-called Acquis Principles). The largest current project of the European Commission, which combines both of these aspects, the Common Frame of Reference.</w:t>
            </w:r>
            <w:r>
              <w:br/>
            </w:r>
            <w:r>
              <w:br/>
              <w:t>The program is adapted to the actual problem with the above areas and in particular the development of new legislation and case law. The central focus shall be on special topics and special</w:t>
            </w:r>
            <w:r>
              <w:t xml:space="preserve"> legal regimes, which are not subject to a general discussion at the first and second stage of the study.</w:t>
            </w:r>
          </w:p>
        </w:tc>
      </w:tr>
    </w:tbl>
    <w:p w14:paraId="42A6EB39" w14:textId="77777777" w:rsidR="009B67FD" w:rsidRDefault="009B67FD"/>
    <w:tbl>
      <w:tblPr>
        <w:tblStyle w:val="DefaultTable"/>
        <w:tblW w:w="5000" w:type="pct"/>
        <w:tblLook w:val="04A0" w:firstRow="1" w:lastRow="0" w:firstColumn="1" w:lastColumn="0" w:noHBand="0" w:noVBand="1"/>
      </w:tblPr>
      <w:tblGrid>
        <w:gridCol w:w="9638"/>
      </w:tblGrid>
      <w:tr w:rsidR="009B67FD" w14:paraId="036F4D7E"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189ABDC8" w14:textId="77777777" w:rsidR="009B67FD" w:rsidRDefault="002E0EC4">
            <w:r>
              <w:t>Temeljna literatura in viri/Readings:</w:t>
            </w:r>
          </w:p>
        </w:tc>
      </w:tr>
      <w:tr w:rsidR="009B67FD" w14:paraId="1D925D72" w14:textId="77777777">
        <w:tc>
          <w:tcPr>
            <w:tcW w:w="0" w:type="auto"/>
          </w:tcPr>
          <w:p w14:paraId="5FFC9837" w14:textId="77777777" w:rsidR="009B67FD" w:rsidRDefault="002E0EC4">
            <w:pPr>
              <w:pStyle w:val="Odstavekseznama"/>
              <w:numPr>
                <w:ilvl w:val="0"/>
                <w:numId w:val="12"/>
              </w:numPr>
              <w:ind w:left="357" w:hanging="357"/>
            </w:pPr>
            <w:r>
              <w:t>Roth in Rose: Bellamy&amp;Child: European Community Law of Competition, Sixth Edition, Oxford University Press, 2008.</w:t>
            </w:r>
          </w:p>
          <w:p w14:paraId="78684DB8" w14:textId="77777777" w:rsidR="009B67FD" w:rsidRDefault="002E0EC4">
            <w:pPr>
              <w:pStyle w:val="Odstavekseznama"/>
              <w:numPr>
                <w:ilvl w:val="0"/>
                <w:numId w:val="12"/>
              </w:numPr>
              <w:ind w:left="357" w:hanging="357"/>
            </w:pPr>
            <w:r>
              <w:t>Thomas M. J. Möllers, Andreas Heinemann: The Enforcement of Competition Law in Europe, ambridge University Press, 2008.</w:t>
            </w:r>
          </w:p>
          <w:p w14:paraId="547A8095" w14:textId="77777777" w:rsidR="009B67FD" w:rsidRDefault="002E0EC4">
            <w:pPr>
              <w:pStyle w:val="Odstavekseznama"/>
              <w:numPr>
                <w:ilvl w:val="0"/>
                <w:numId w:val="12"/>
              </w:numPr>
              <w:ind w:left="357" w:hanging="357"/>
            </w:pPr>
            <w:r>
              <w:t>Eeckhout: The European Internal Market and International Trade, A Legal Analysis, Oxford University Press, 1994.</w:t>
            </w:r>
          </w:p>
          <w:p w14:paraId="7AA3ADF7" w14:textId="77777777" w:rsidR="009B67FD" w:rsidRDefault="002E0EC4">
            <w:pPr>
              <w:pStyle w:val="Odstavekseznama"/>
              <w:numPr>
                <w:ilvl w:val="0"/>
                <w:numId w:val="12"/>
              </w:numPr>
              <w:ind w:left="357" w:hanging="357"/>
            </w:pPr>
            <w:r>
              <w:t>White: Workers, Establishment, and Services in the European Union, Oxford University Press, 2004.</w:t>
            </w:r>
          </w:p>
          <w:p w14:paraId="7455D4C3" w14:textId="77777777" w:rsidR="009B67FD" w:rsidRDefault="002E0EC4">
            <w:pPr>
              <w:pStyle w:val="Odstavekseznama"/>
              <w:numPr>
                <w:ilvl w:val="0"/>
                <w:numId w:val="12"/>
              </w:numPr>
              <w:ind w:left="357" w:hanging="357"/>
            </w:pPr>
            <w:r>
              <w:t>Network on Free Movement of Workers within the European Union, Report for the European Commission on the Implementation of EU free movement law, Centre for Migration Law, Nijmegen (annual reports).</w:t>
            </w:r>
          </w:p>
          <w:p w14:paraId="1BD03CBF" w14:textId="77777777" w:rsidR="009B67FD" w:rsidRDefault="002E0EC4">
            <w:pPr>
              <w:pStyle w:val="Odstavekseznama"/>
              <w:numPr>
                <w:ilvl w:val="0"/>
                <w:numId w:val="12"/>
              </w:numPr>
              <w:ind w:left="357" w:hanging="357"/>
            </w:pPr>
            <w:r>
              <w:t>Principles, Definitions and Model Rules of European Private Law – Draft Common Frame of Reference (DCFR), Interim Outline Edition, Sellier, München, 2008.</w:t>
            </w:r>
          </w:p>
          <w:p w14:paraId="1EB72143" w14:textId="77777777" w:rsidR="009B67FD" w:rsidRDefault="002E0EC4">
            <w:pPr>
              <w:pStyle w:val="Odstavekseznama"/>
              <w:numPr>
                <w:ilvl w:val="0"/>
                <w:numId w:val="12"/>
              </w:numPr>
              <w:ind w:left="357" w:hanging="357"/>
            </w:pPr>
            <w:r>
              <w:t>McKendrick, E.: Harmonisation of European Contract Law: The State We Are In, in: Vogenauer /Weatherill; The Harmonisation of European Contract Law, Hart Publishing, Oxford 2006, pages 5-28.</w:t>
            </w:r>
          </w:p>
          <w:p w14:paraId="7283D1D1" w14:textId="77777777" w:rsidR="009B67FD" w:rsidRDefault="002E0EC4">
            <w:pPr>
              <w:pStyle w:val="Odstavekseznama"/>
              <w:numPr>
                <w:ilvl w:val="0"/>
                <w:numId w:val="12"/>
              </w:numPr>
              <w:ind w:left="357" w:hanging="357"/>
            </w:pPr>
            <w:r>
              <w:lastRenderedPageBreak/>
              <w:t>Vogenauer/Weatherill, v: The EC's Competence to Pursue Harmonisation, v: Vogenauer/Weatherill (ur.), The Harmonisation of European Contract Law, Oxford 2006, str. 106.</w:t>
            </w:r>
          </w:p>
          <w:p w14:paraId="46152DE5" w14:textId="77777777" w:rsidR="009B67FD" w:rsidRDefault="002E0EC4">
            <w:pPr>
              <w:pStyle w:val="Odstavekseznama"/>
              <w:numPr>
                <w:ilvl w:val="0"/>
                <w:numId w:val="12"/>
              </w:numPr>
              <w:ind w:left="357" w:hanging="357"/>
            </w:pPr>
            <w:r>
              <w:t>Basedow, Grundlagen des europäischen Privatrechts, JuS 2/2004, str. 89.</w:t>
            </w:r>
          </w:p>
          <w:p w14:paraId="358E847B" w14:textId="77777777" w:rsidR="009B67FD" w:rsidRDefault="002E0EC4">
            <w:pPr>
              <w:pStyle w:val="Odstavekseznama"/>
              <w:numPr>
                <w:ilvl w:val="0"/>
                <w:numId w:val="12"/>
              </w:numPr>
              <w:ind w:left="357" w:hanging="357"/>
            </w:pPr>
            <w:r>
              <w:t>Hartkamp, Perspectives for the Development of a European Civil Law, v: Bussani/Mattei (ur.), The Common Core of European Private Law, Kluwer Law International, Hague 2003, str. 67.</w:t>
            </w:r>
          </w:p>
          <w:p w14:paraId="377D37CE" w14:textId="77777777" w:rsidR="009B67FD" w:rsidRDefault="002E0EC4">
            <w:pPr>
              <w:pStyle w:val="Odstavekseznama"/>
              <w:numPr>
                <w:ilvl w:val="0"/>
                <w:numId w:val="12"/>
              </w:numPr>
              <w:ind w:left="357" w:hanging="357"/>
            </w:pPr>
            <w:r>
              <w:t>Grundmann, S., in: Grundmann S./Bianca M.C. (eds.), EU Sales Directive – Commentary, Intersentia, Antwerp 2002, pages 1-54 (Introduction).</w:t>
            </w:r>
          </w:p>
          <w:p w14:paraId="59D29A7F" w14:textId="77777777" w:rsidR="009B67FD" w:rsidRDefault="002E0EC4">
            <w:r>
              <w:t>Seznam strokovnih člankov za posamezne teme se objavi posebej. / Nabor literature se vsako leto dopolni z aktualnimi deli s področja problemov, ki se obravnavajo.</w:t>
            </w:r>
          </w:p>
          <w:p w14:paraId="7F7DF0F8" w14:textId="77777777" w:rsidR="009B67FD" w:rsidRDefault="002E0EC4">
            <w:r>
              <w:t>The List of articles for each topic will be published separately. / A range of literature each year supplemented with the latest components from the field of problems to be addressed.</w:t>
            </w:r>
          </w:p>
        </w:tc>
      </w:tr>
    </w:tbl>
    <w:p w14:paraId="1317A1ED" w14:textId="77777777" w:rsidR="009B67FD" w:rsidRDefault="009B67FD"/>
    <w:tbl>
      <w:tblPr>
        <w:tblStyle w:val="DefaultTable"/>
        <w:tblW w:w="5000" w:type="pct"/>
        <w:tblLook w:val="04A0" w:firstRow="1" w:lastRow="0" w:firstColumn="1" w:lastColumn="0" w:noHBand="0" w:noVBand="1"/>
      </w:tblPr>
      <w:tblGrid>
        <w:gridCol w:w="4819"/>
        <w:gridCol w:w="4819"/>
      </w:tblGrid>
      <w:tr w:rsidR="009B67FD" w14:paraId="50544072" w14:textId="77777777" w:rsidTr="009B67FD">
        <w:trPr>
          <w:cnfStyle w:val="100000000000" w:firstRow="1" w:lastRow="0" w:firstColumn="0" w:lastColumn="0" w:oddVBand="0" w:evenVBand="0" w:oddHBand="0" w:evenHBand="0" w:firstRowFirstColumn="0" w:firstRowLastColumn="0" w:lastRowFirstColumn="0" w:lastRowLastColumn="0"/>
        </w:trPr>
        <w:tc>
          <w:tcPr>
            <w:tcW w:w="2500" w:type="pct"/>
          </w:tcPr>
          <w:p w14:paraId="0CABCDD4" w14:textId="77777777" w:rsidR="009B67FD" w:rsidRDefault="002E0EC4">
            <w:r>
              <w:t>Cilji in kompetence:</w:t>
            </w:r>
          </w:p>
        </w:tc>
        <w:tc>
          <w:tcPr>
            <w:tcW w:w="2500" w:type="pct"/>
          </w:tcPr>
          <w:p w14:paraId="3603F17E" w14:textId="77777777" w:rsidR="009B67FD" w:rsidRDefault="002E0EC4">
            <w:r>
              <w:t>Objectives and competences:</w:t>
            </w:r>
          </w:p>
        </w:tc>
      </w:tr>
      <w:tr w:rsidR="009B67FD" w14:paraId="04E4DD6D" w14:textId="77777777">
        <w:tc>
          <w:tcPr>
            <w:tcW w:w="0" w:type="auto"/>
          </w:tcPr>
          <w:p w14:paraId="4B392ECE" w14:textId="77777777" w:rsidR="009B67FD" w:rsidRDefault="002E0EC4">
            <w:r>
              <w:t>Cilj predmeta je poglobljen študij izbranih poglavij evropskega civilnega in gospodarskega prava. Poudarek je na evropskem konkurenčnem pravu, prostem pretoku produkcijskih faktorjev oziroma ekonomskih svoboščinah ter na nastajajočem evropskem civilnem pravu oziroma izbranih aktualnih temah tega področja.</w:t>
            </w:r>
          </w:p>
          <w:p w14:paraId="6BC5630F" w14:textId="77777777" w:rsidR="009B67FD" w:rsidRDefault="002E0EC4">
            <w:r>
              <w:t>Posamezni problemi s področja evropskega gospodarskega in civilnega prava se obravnavajo medsebojno povezovalno in s povezovanjem sodne prakse ter teorije. Študent pridobi sposobnost znanstvene analize problemov z navedenih pravnih disciplin, vrednotenja različnih teoretičnih stališč, uporabo primerjalno pravne metode, kritične analize sodne prakse in pisnega oblikovanja zahtevnejše argumentacije.</w:t>
            </w:r>
          </w:p>
        </w:tc>
        <w:tc>
          <w:tcPr>
            <w:tcW w:w="0" w:type="auto"/>
          </w:tcPr>
          <w:p w14:paraId="0E762892" w14:textId="77777777" w:rsidR="009B67FD" w:rsidRDefault="002E0EC4">
            <w:r>
              <w:t>The aim of the course is an in-depth analysis of selected topics of EU private and commercial law. The focus shall be on European competition law, the basic economic freedoms as well as in the emerging European civil law or selected current topics in the field.</w:t>
            </w:r>
          </w:p>
          <w:p w14:paraId="65FF0EBA" w14:textId="77777777" w:rsidR="009B67FD" w:rsidRDefault="002E0EC4">
            <w:r>
              <w:t>Individual problems in both areas are considered connecting and linking theory and jurisprudence. Students will acquire the ability to scientific analysis of problems with those legal disciplines, evaluation of various theoretical positions, the use of comparative legal methods, critical analysis of the case and demanding the creation of a written argument.</w:t>
            </w:r>
          </w:p>
        </w:tc>
      </w:tr>
    </w:tbl>
    <w:p w14:paraId="5B0F48A2" w14:textId="77777777" w:rsidR="009B67FD" w:rsidRDefault="009B67FD"/>
    <w:tbl>
      <w:tblPr>
        <w:tblStyle w:val="DefaultTable"/>
        <w:tblW w:w="5000" w:type="pct"/>
        <w:tblLook w:val="04A0" w:firstRow="1" w:lastRow="0" w:firstColumn="1" w:lastColumn="0" w:noHBand="0" w:noVBand="1"/>
      </w:tblPr>
      <w:tblGrid>
        <w:gridCol w:w="4819"/>
        <w:gridCol w:w="4819"/>
      </w:tblGrid>
      <w:tr w:rsidR="009B67FD" w14:paraId="7FB2347E" w14:textId="77777777" w:rsidTr="009B67FD">
        <w:trPr>
          <w:cnfStyle w:val="100000000000" w:firstRow="1" w:lastRow="0" w:firstColumn="0" w:lastColumn="0" w:oddVBand="0" w:evenVBand="0" w:oddHBand="0" w:evenHBand="0" w:firstRowFirstColumn="0" w:firstRowLastColumn="0" w:lastRowFirstColumn="0" w:lastRowLastColumn="0"/>
        </w:trPr>
        <w:tc>
          <w:tcPr>
            <w:tcW w:w="2500" w:type="pct"/>
          </w:tcPr>
          <w:p w14:paraId="746244DE" w14:textId="77777777" w:rsidR="009B67FD" w:rsidRDefault="002E0EC4">
            <w:r>
              <w:t>Predvideni študijski rezultati:</w:t>
            </w:r>
          </w:p>
        </w:tc>
        <w:tc>
          <w:tcPr>
            <w:tcW w:w="2500" w:type="pct"/>
          </w:tcPr>
          <w:p w14:paraId="78F8E691" w14:textId="77777777" w:rsidR="009B67FD" w:rsidRDefault="002E0EC4">
            <w:r>
              <w:t>Intended learning outcomes:</w:t>
            </w:r>
          </w:p>
        </w:tc>
      </w:tr>
      <w:tr w:rsidR="009B67FD" w14:paraId="283F82AE" w14:textId="77777777">
        <w:tc>
          <w:tcPr>
            <w:tcW w:w="0" w:type="auto"/>
          </w:tcPr>
          <w:p w14:paraId="7294D4A9" w14:textId="77777777" w:rsidR="009B67FD" w:rsidRDefault="002E0EC4">
            <w:r>
              <w:t>Študent pridobi sposobnost znanstvene analize problemov z navedenih pravnih disciplin, vrednotenja različnih teoretičnih stališč, uporabo primerjalno pravne metode, kritične analize sodne prakse in pisnega oblikovanja zahtevnejše argumentacije.</w:t>
            </w:r>
          </w:p>
        </w:tc>
        <w:tc>
          <w:tcPr>
            <w:tcW w:w="0" w:type="auto"/>
          </w:tcPr>
          <w:p w14:paraId="52AF4038" w14:textId="77777777" w:rsidR="009B67FD" w:rsidRDefault="002E0EC4">
            <w:r>
              <w:t>Students will acquire the ability for scientific analysis of problems with those legal disciplines, evaluation of various theoretical positions, the use of comparative legal methods, critical analysis of the case and demanding the creation of a written argument.</w:t>
            </w:r>
          </w:p>
        </w:tc>
      </w:tr>
    </w:tbl>
    <w:p w14:paraId="27851AFD" w14:textId="77777777" w:rsidR="009B67FD" w:rsidRDefault="009B67FD"/>
    <w:tbl>
      <w:tblPr>
        <w:tblStyle w:val="DefaultTable"/>
        <w:tblW w:w="5000" w:type="pct"/>
        <w:tblLook w:val="04A0" w:firstRow="1" w:lastRow="0" w:firstColumn="1" w:lastColumn="0" w:noHBand="0" w:noVBand="1"/>
      </w:tblPr>
      <w:tblGrid>
        <w:gridCol w:w="4819"/>
        <w:gridCol w:w="4819"/>
      </w:tblGrid>
      <w:tr w:rsidR="009B67FD" w14:paraId="5B01B635" w14:textId="77777777" w:rsidTr="009B67FD">
        <w:trPr>
          <w:cnfStyle w:val="100000000000" w:firstRow="1" w:lastRow="0" w:firstColumn="0" w:lastColumn="0" w:oddVBand="0" w:evenVBand="0" w:oddHBand="0" w:evenHBand="0" w:firstRowFirstColumn="0" w:firstRowLastColumn="0" w:lastRowFirstColumn="0" w:lastRowLastColumn="0"/>
        </w:trPr>
        <w:tc>
          <w:tcPr>
            <w:tcW w:w="2500" w:type="pct"/>
          </w:tcPr>
          <w:p w14:paraId="38692437" w14:textId="77777777" w:rsidR="009B67FD" w:rsidRDefault="002E0EC4">
            <w:r>
              <w:t>Metode poučevanja in učenja:</w:t>
            </w:r>
          </w:p>
        </w:tc>
        <w:tc>
          <w:tcPr>
            <w:tcW w:w="2500" w:type="pct"/>
          </w:tcPr>
          <w:p w14:paraId="349F36AF" w14:textId="77777777" w:rsidR="009B67FD" w:rsidRDefault="002E0EC4">
            <w:r>
              <w:t>Learning and teaching methods:</w:t>
            </w:r>
          </w:p>
        </w:tc>
      </w:tr>
      <w:tr w:rsidR="009B67FD" w14:paraId="5A5EC403" w14:textId="77777777">
        <w:tc>
          <w:tcPr>
            <w:tcW w:w="0" w:type="auto"/>
          </w:tcPr>
          <w:p w14:paraId="6BB7F8E7" w14:textId="77777777" w:rsidR="009B67FD" w:rsidRDefault="002E0EC4">
            <w:r>
              <w:t>Predavanja – predavajo se izbrane teme, ki se določijo posebej glede na razvoj teorije, zakonodaje in sodne prakse.</w:t>
            </w:r>
          </w:p>
          <w:p w14:paraId="0BD4941B" w14:textId="77777777" w:rsidR="009B67FD" w:rsidRDefault="002E0EC4">
            <w:r>
              <w:t>Seminarske vaje – na seminarskih vajah študente z učiteljem analizirajo pomembne sodne odločbe ter rešujejo praktične primere, študentje pa predstavijo vsebino seminarske naloge.</w:t>
            </w:r>
          </w:p>
          <w:p w14:paraId="75428FB8" w14:textId="77777777" w:rsidR="009B67FD" w:rsidRDefault="002E0EC4">
            <w:r>
              <w:t>Drugo – izdelava seminarske naloge, ki obravnava zahtevnejši pravni problem z navedenih področij.</w:t>
            </w:r>
          </w:p>
          <w:p w14:paraId="159083BA" w14:textId="77777777" w:rsidR="009B67FD" w:rsidRDefault="002E0EC4">
            <w:r>
              <w:t>Individualni študij za izpit.</w:t>
            </w:r>
          </w:p>
        </w:tc>
        <w:tc>
          <w:tcPr>
            <w:tcW w:w="0" w:type="auto"/>
          </w:tcPr>
          <w:p w14:paraId="641A300A" w14:textId="77777777" w:rsidR="009B67FD" w:rsidRDefault="002E0EC4">
            <w:r>
              <w:t>Lectures - lectures in selected topics to be determined specifically in relation to the development of the theory, legislation and case law.</w:t>
            </w:r>
          </w:p>
          <w:p w14:paraId="5BB1D5AF" w14:textId="77777777" w:rsidR="009B67FD" w:rsidRDefault="002E0EC4">
            <w:r>
              <w:t>Tutorials - students and professor shall analyze the relevant court decisions and solve practical examples, students could present the content of seminar papers.</w:t>
            </w:r>
          </w:p>
          <w:p w14:paraId="505F838C" w14:textId="77777777" w:rsidR="009B67FD" w:rsidRDefault="002E0EC4">
            <w:r>
              <w:t>Other - seminar paper, which deals with more complex legal problem with these areas.</w:t>
            </w:r>
          </w:p>
          <w:p w14:paraId="7B467E0D" w14:textId="77777777" w:rsidR="009B67FD" w:rsidRDefault="002E0EC4">
            <w:r>
              <w:t>Individual study for the exam.</w:t>
            </w:r>
          </w:p>
        </w:tc>
      </w:tr>
    </w:tbl>
    <w:p w14:paraId="00929AB5" w14:textId="77777777" w:rsidR="009B67FD" w:rsidRDefault="009B67FD"/>
    <w:tbl>
      <w:tblPr>
        <w:tblStyle w:val="DefaultTable"/>
        <w:tblW w:w="5000" w:type="pct"/>
        <w:tblLook w:val="04A0" w:firstRow="1" w:lastRow="0" w:firstColumn="1" w:lastColumn="0" w:noHBand="0" w:noVBand="1"/>
      </w:tblPr>
      <w:tblGrid>
        <w:gridCol w:w="4045"/>
        <w:gridCol w:w="1548"/>
        <w:gridCol w:w="4045"/>
      </w:tblGrid>
      <w:tr w:rsidR="009B67FD" w14:paraId="5869F61F" w14:textId="77777777" w:rsidTr="009B67FD">
        <w:trPr>
          <w:cnfStyle w:val="100000000000" w:firstRow="1" w:lastRow="0" w:firstColumn="0" w:lastColumn="0" w:oddVBand="0" w:evenVBand="0" w:oddHBand="0" w:evenHBand="0" w:firstRowFirstColumn="0" w:firstRowLastColumn="0" w:lastRowFirstColumn="0" w:lastRowLastColumn="0"/>
        </w:trPr>
        <w:tc>
          <w:tcPr>
            <w:tcW w:w="2200" w:type="pct"/>
          </w:tcPr>
          <w:p w14:paraId="1345CFA6" w14:textId="77777777" w:rsidR="009B67FD" w:rsidRDefault="002E0EC4">
            <w:r>
              <w:t>Načini ocenjevanja:</w:t>
            </w:r>
          </w:p>
        </w:tc>
        <w:tc>
          <w:tcPr>
            <w:tcW w:w="600" w:type="pct"/>
          </w:tcPr>
          <w:p w14:paraId="783BC821" w14:textId="77777777" w:rsidR="009B67FD" w:rsidRDefault="002E0EC4">
            <w:pPr>
              <w:keepNext/>
              <w:jc w:val="center"/>
            </w:pPr>
            <w:r>
              <w:t>Delež/Weight</w:t>
            </w:r>
          </w:p>
        </w:tc>
        <w:tc>
          <w:tcPr>
            <w:tcW w:w="2200" w:type="pct"/>
          </w:tcPr>
          <w:p w14:paraId="28798181" w14:textId="77777777" w:rsidR="009B67FD" w:rsidRDefault="002E0EC4">
            <w:r>
              <w:t>Assessment:</w:t>
            </w:r>
          </w:p>
        </w:tc>
      </w:tr>
      <w:tr w:rsidR="009B67FD" w14:paraId="352DDE40" w14:textId="77777777">
        <w:tc>
          <w:tcPr>
            <w:tcW w:w="0" w:type="auto"/>
          </w:tcPr>
          <w:p w14:paraId="7413EF4E" w14:textId="77777777" w:rsidR="009B67FD" w:rsidRDefault="002E0EC4">
            <w:r>
              <w:t xml:space="preserve">Način (pisni izpit, ustno izpraševanje, naloge, projekt): Pisni izpit. Za pristop k izpitu se zahteva uspešno izdelana in predstavljena seminarska naloga. </w:t>
            </w:r>
            <w:r>
              <w:lastRenderedPageBreak/>
              <w:t>Predstavitev se lahko opravi na seminarskih vajah ali pred učiteljem ocenjevalcem.</w:t>
            </w:r>
          </w:p>
        </w:tc>
        <w:tc>
          <w:tcPr>
            <w:tcW w:w="0" w:type="auto"/>
          </w:tcPr>
          <w:p w14:paraId="3BD080B1" w14:textId="77777777" w:rsidR="009B67FD" w:rsidRDefault="002E0EC4">
            <w:pPr>
              <w:keepNext/>
              <w:jc w:val="center"/>
            </w:pPr>
            <w:r>
              <w:lastRenderedPageBreak/>
              <w:t>50,00 %</w:t>
            </w:r>
          </w:p>
        </w:tc>
        <w:tc>
          <w:tcPr>
            <w:tcW w:w="0" w:type="auto"/>
          </w:tcPr>
          <w:p w14:paraId="48E5DBCB" w14:textId="77777777" w:rsidR="009B67FD" w:rsidRDefault="002E0EC4">
            <w:r>
              <w:t xml:space="preserve">Type (examination, oral, coursework, project): Written examination. A prerequisite for the examination is a successfully prepared and presented seminar paper. Presentation can be exercised during </w:t>
            </w:r>
            <w:r>
              <w:lastRenderedPageBreak/>
              <w:t>seminar tutorial or in front of the teacher examinator.</w:t>
            </w:r>
          </w:p>
        </w:tc>
      </w:tr>
      <w:tr w:rsidR="009B67FD" w14:paraId="4013BDC2" w14:textId="77777777">
        <w:tc>
          <w:tcPr>
            <w:tcW w:w="0" w:type="auto"/>
          </w:tcPr>
          <w:p w14:paraId="3BB41F7B" w14:textId="77777777" w:rsidR="009B67FD" w:rsidRDefault="002E0EC4">
            <w:r>
              <w:lastRenderedPageBreak/>
              <w:t>Ustni izpit.</w:t>
            </w:r>
          </w:p>
        </w:tc>
        <w:tc>
          <w:tcPr>
            <w:tcW w:w="0" w:type="auto"/>
          </w:tcPr>
          <w:p w14:paraId="0828908C" w14:textId="77777777" w:rsidR="009B67FD" w:rsidRDefault="002E0EC4">
            <w:pPr>
              <w:keepNext/>
              <w:jc w:val="center"/>
            </w:pPr>
            <w:r>
              <w:t>50,00 %</w:t>
            </w:r>
          </w:p>
        </w:tc>
        <w:tc>
          <w:tcPr>
            <w:tcW w:w="0" w:type="auto"/>
          </w:tcPr>
          <w:p w14:paraId="173DFCB1" w14:textId="77777777" w:rsidR="009B67FD" w:rsidRDefault="002E0EC4">
            <w:r>
              <w:t>Oral examination.</w:t>
            </w:r>
          </w:p>
        </w:tc>
      </w:tr>
    </w:tbl>
    <w:p w14:paraId="5063A2CD" w14:textId="77777777" w:rsidR="009B67FD" w:rsidRDefault="009B67FD"/>
    <w:tbl>
      <w:tblPr>
        <w:tblStyle w:val="DefaultTable"/>
        <w:tblW w:w="5000" w:type="pct"/>
        <w:tblLook w:val="04A0" w:firstRow="1" w:lastRow="0" w:firstColumn="1" w:lastColumn="0" w:noHBand="0" w:noVBand="1"/>
      </w:tblPr>
      <w:tblGrid>
        <w:gridCol w:w="4819"/>
        <w:gridCol w:w="4819"/>
      </w:tblGrid>
      <w:tr w:rsidR="009B67FD" w14:paraId="6431D2AE" w14:textId="77777777" w:rsidTr="009B67FD">
        <w:trPr>
          <w:cnfStyle w:val="100000000000" w:firstRow="1" w:lastRow="0" w:firstColumn="0" w:lastColumn="0" w:oddVBand="0" w:evenVBand="0" w:oddHBand="0" w:evenHBand="0" w:firstRowFirstColumn="0" w:firstRowLastColumn="0" w:lastRowFirstColumn="0" w:lastRowLastColumn="0"/>
        </w:trPr>
        <w:tc>
          <w:tcPr>
            <w:tcW w:w="2500" w:type="pct"/>
          </w:tcPr>
          <w:p w14:paraId="19697ED2" w14:textId="77777777" w:rsidR="009B67FD" w:rsidRDefault="002E0EC4">
            <w:r>
              <w:t>Ocenjevalna lestvica:</w:t>
            </w:r>
          </w:p>
        </w:tc>
        <w:tc>
          <w:tcPr>
            <w:tcW w:w="2500" w:type="pct"/>
          </w:tcPr>
          <w:p w14:paraId="7F330ACA" w14:textId="77777777" w:rsidR="009B67FD" w:rsidRDefault="002E0EC4">
            <w:r>
              <w:t>Grading system:</w:t>
            </w:r>
          </w:p>
        </w:tc>
      </w:tr>
      <w:tr w:rsidR="009B67FD" w14:paraId="188A88F6" w14:textId="77777777">
        <w:tc>
          <w:tcPr>
            <w:tcW w:w="0" w:type="auto"/>
          </w:tcPr>
          <w:p w14:paraId="666C3B3E" w14:textId="77777777" w:rsidR="009B67FD" w:rsidRDefault="009B67FD"/>
        </w:tc>
        <w:tc>
          <w:tcPr>
            <w:tcW w:w="0" w:type="auto"/>
          </w:tcPr>
          <w:p w14:paraId="6129B827" w14:textId="77777777" w:rsidR="009B67FD" w:rsidRDefault="009B67FD"/>
        </w:tc>
      </w:tr>
    </w:tbl>
    <w:p w14:paraId="15B50236" w14:textId="77777777" w:rsidR="009B67FD" w:rsidRDefault="009B67FD"/>
    <w:tbl>
      <w:tblPr>
        <w:tblStyle w:val="DefaultTable"/>
        <w:tblW w:w="5000" w:type="pct"/>
        <w:tblLook w:val="04A0" w:firstRow="1" w:lastRow="0" w:firstColumn="1" w:lastColumn="0" w:noHBand="0" w:noVBand="1"/>
      </w:tblPr>
      <w:tblGrid>
        <w:gridCol w:w="9638"/>
      </w:tblGrid>
      <w:tr w:rsidR="009B67FD" w14:paraId="362D1ACD"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5C2297F9" w14:textId="77777777" w:rsidR="009B67FD" w:rsidRDefault="002E0EC4">
            <w:r>
              <w:t>Reference nosilca/Lecturer's references:</w:t>
            </w:r>
          </w:p>
        </w:tc>
      </w:tr>
      <w:tr w:rsidR="009B67FD" w14:paraId="37208B97" w14:textId="77777777">
        <w:tc>
          <w:tcPr>
            <w:tcW w:w="0" w:type="auto"/>
          </w:tcPr>
          <w:p w14:paraId="7B6A0129" w14:textId="77777777" w:rsidR="009B67FD" w:rsidRDefault="002E0EC4">
            <w:pPr>
              <w:pStyle w:val="Odstavekseznama"/>
              <w:numPr>
                <w:ilvl w:val="0"/>
                <w:numId w:val="13"/>
              </w:numPr>
              <w:ind w:left="357" w:hanging="357"/>
            </w:pPr>
            <w:r>
              <w:t>GRILC, Peter. Reforma konkurenčnega prava v EU. Zb. znan. razpr. (Prav. fak. 1991), 2000, letn. 60, št. 2, str. 51-75.</w:t>
            </w:r>
          </w:p>
          <w:p w14:paraId="2CBB882B" w14:textId="77777777" w:rsidR="009B67FD" w:rsidRDefault="002E0EC4">
            <w:pPr>
              <w:pStyle w:val="Odstavekseznama"/>
              <w:numPr>
                <w:ilvl w:val="0"/>
                <w:numId w:val="13"/>
              </w:numPr>
              <w:ind w:left="357" w:hanging="357"/>
            </w:pPr>
            <w:r>
              <w:t>GRILC, Peter. Nove ekonomije, sektorji, produkcijski faktorji in konkurenčno pravo. Podjet. delo, str. 1476-1485.</w:t>
            </w:r>
          </w:p>
          <w:p w14:paraId="3163A048" w14:textId="77777777" w:rsidR="009B67FD" w:rsidRDefault="002E0EC4">
            <w:pPr>
              <w:pStyle w:val="Odstavekseznama"/>
              <w:numPr>
                <w:ilvl w:val="0"/>
                <w:numId w:val="13"/>
              </w:numPr>
              <w:ind w:left="357" w:hanging="357"/>
            </w:pPr>
            <w:r>
              <w:t>GRILC, Peter. Meje konkurence, konkurenčne politike in konkurenčnega prava. Javna uprava, 2007, letn. 43, št. 1, str. 117-143.</w:t>
            </w:r>
          </w:p>
          <w:p w14:paraId="5608A8A5" w14:textId="77777777" w:rsidR="009B67FD" w:rsidRDefault="002E0EC4">
            <w:pPr>
              <w:pStyle w:val="Odstavekseznama"/>
              <w:numPr>
                <w:ilvl w:val="0"/>
                <w:numId w:val="13"/>
              </w:numPr>
              <w:ind w:left="357" w:hanging="357"/>
            </w:pPr>
            <w:r>
              <w:t>GRILC, Peter. Moderni tipi pogodb avtonomnega gospodarskega prava. Ljubljana: Gospodarski vestnik, 1996. 265 str. ISBN 86-7061-132-5.</w:t>
            </w:r>
          </w:p>
          <w:p w14:paraId="253AAE84" w14:textId="77777777" w:rsidR="009B67FD" w:rsidRDefault="002E0EC4">
            <w:pPr>
              <w:pStyle w:val="Odstavekseznama"/>
              <w:numPr>
                <w:ilvl w:val="0"/>
                <w:numId w:val="13"/>
              </w:numPr>
              <w:ind w:left="357" w:hanging="357"/>
            </w:pPr>
            <w:r>
              <w:t>GRILC, Peter. Pogodba o tujih investicijah z zasebnopravnega vidika. Podjetje in delo, ISSN 0353-6521, 2015, letn. 41, št. 1, str. 23-34.</w:t>
            </w:r>
          </w:p>
          <w:p w14:paraId="5745B8FF" w14:textId="77777777" w:rsidR="009B67FD" w:rsidRDefault="002E0EC4">
            <w:pPr>
              <w:pStyle w:val="Odstavekseznama"/>
              <w:numPr>
                <w:ilvl w:val="0"/>
                <w:numId w:val="13"/>
              </w:numPr>
              <w:ind w:left="357" w:hanging="357"/>
            </w:pPr>
            <w:r>
              <w:t>GRILC, Peter. Problematika dodatnih pogojev ali zahtev prodajalca pri prodaji podjetja v državni lasti z vidika pravil o državnih pomočeh. Podjetje in delo, ISSN 0353-6521, 2014, letn. 40, št. 5, str. 681-691.</w:t>
            </w:r>
          </w:p>
          <w:p w14:paraId="28D6ED93" w14:textId="77777777" w:rsidR="009B67FD" w:rsidRDefault="002E0EC4">
            <w:pPr>
              <w:pStyle w:val="Odstavekseznama"/>
              <w:numPr>
                <w:ilvl w:val="0"/>
                <w:numId w:val="13"/>
              </w:numPr>
              <w:ind w:left="357" w:hanging="357"/>
            </w:pPr>
            <w:r>
              <w:t>GRILC, Peter. Gospodarska/finančna kriza kot spremenjena okoliščina. Pravni letopis ..., ISSN 1855-5861, 2011, str. 33-46, 378-379.</w:t>
            </w:r>
          </w:p>
          <w:p w14:paraId="5864D932" w14:textId="77777777" w:rsidR="009B67FD" w:rsidRDefault="002E0EC4">
            <w:pPr>
              <w:pStyle w:val="Odstavekseznama"/>
              <w:numPr>
                <w:ilvl w:val="0"/>
                <w:numId w:val="13"/>
              </w:numPr>
              <w:ind w:left="357" w:hanging="357"/>
            </w:pPr>
            <w:r>
              <w:t>GRILC, Peter. Konkurenčno pravo v obdobju gospodarske krize (državne pomoči). Podjetje in delo, ISSN 0353-6521, 2010, let. 36, št. 8, str. 1453-1469.</w:t>
            </w:r>
          </w:p>
          <w:p w14:paraId="2FED473B" w14:textId="77777777" w:rsidR="009B67FD" w:rsidRDefault="002E0EC4">
            <w:pPr>
              <w:pStyle w:val="Odstavekseznama"/>
              <w:numPr>
                <w:ilvl w:val="0"/>
                <w:numId w:val="13"/>
              </w:numPr>
              <w:ind w:left="357" w:hanging="357"/>
            </w:pPr>
            <w:r>
              <w:t>GRILC, Peter. Konkurenčno pravo EU po reformi - evolucija, redefinicija ali stagnacija?. Zb. znan. razpr. (Prav. fak. 1991), 2004, letn. 64, str. 157-179.</w:t>
            </w:r>
          </w:p>
          <w:p w14:paraId="3CD263C6" w14:textId="77777777" w:rsidR="009B67FD" w:rsidRDefault="002E0EC4">
            <w:pPr>
              <w:pStyle w:val="Odstavekseznama"/>
              <w:numPr>
                <w:ilvl w:val="0"/>
                <w:numId w:val="13"/>
              </w:numPr>
              <w:ind w:left="357" w:hanging="357"/>
            </w:pPr>
            <w:r>
              <w:t>GRILC, Peter. Reforma konkurenčnega prava v EU. Zb. znan. razpr. (Prav. fak. 1991), 2000, letn. 60, št. 2, str. 51-75.</w:t>
            </w:r>
          </w:p>
          <w:p w14:paraId="6E4A6563" w14:textId="77777777" w:rsidR="009B67FD" w:rsidRDefault="002E0EC4">
            <w:pPr>
              <w:pStyle w:val="Odstavekseznama"/>
              <w:numPr>
                <w:ilvl w:val="0"/>
                <w:numId w:val="13"/>
              </w:numPr>
              <w:ind w:left="357" w:hanging="357"/>
            </w:pPr>
            <w:r>
              <w:t>GRILC, Peter. Povezava med antidumpinškim in konkurenčnim pravom in politiko v evropskih skupnostih. Pravnik (Ljublj.), 1989, letn. 44, št. 1/2, str. 59-69.</w:t>
            </w:r>
          </w:p>
        </w:tc>
      </w:tr>
    </w:tbl>
    <w:p w14:paraId="7697E6CF" w14:textId="77777777" w:rsidR="002E0EC4" w:rsidRDefault="002E0EC4"/>
    <w:sectPr w:rsidR="00000000" w:rsidSect="0033686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28CF"/>
    <w:multiLevelType w:val="singleLevel"/>
    <w:tmpl w:val="69ECFA6C"/>
    <w:lvl w:ilvl="0">
      <w:start w:val="1"/>
      <w:numFmt w:val="lowerLetter"/>
      <w:lvlText w:val="%1."/>
      <w:lvlJc w:val="left"/>
      <w:pPr>
        <w:ind w:left="420" w:hanging="360"/>
      </w:pPr>
    </w:lvl>
  </w:abstractNum>
  <w:abstractNum w:abstractNumId="1" w15:restartNumberingAfterBreak="0">
    <w:nsid w:val="0B5C0A11"/>
    <w:multiLevelType w:val="singleLevel"/>
    <w:tmpl w:val="9AF07C5C"/>
    <w:lvl w:ilvl="0">
      <w:numFmt w:val="bullet"/>
      <w:lvlText w:val="o"/>
      <w:lvlJc w:val="left"/>
      <w:pPr>
        <w:ind w:left="420" w:hanging="360"/>
      </w:pPr>
    </w:lvl>
  </w:abstractNum>
  <w:abstractNum w:abstractNumId="2" w15:restartNumberingAfterBreak="0">
    <w:nsid w:val="0CE977F9"/>
    <w:multiLevelType w:val="singleLevel"/>
    <w:tmpl w:val="B1243598"/>
    <w:lvl w:ilvl="0">
      <w:start w:val="1"/>
      <w:numFmt w:val="lowerRoman"/>
      <w:lvlText w:val="%1."/>
      <w:lvlJc w:val="left"/>
      <w:pPr>
        <w:ind w:left="420" w:hanging="360"/>
      </w:pPr>
    </w:lvl>
  </w:abstractNum>
  <w:abstractNum w:abstractNumId="3" w15:restartNumberingAfterBreak="0">
    <w:nsid w:val="0F253FEB"/>
    <w:multiLevelType w:val="multilevel"/>
    <w:tmpl w:val="B70269E2"/>
    <w:lvl w:ilvl="0">
      <w:start w:val="1"/>
      <w:numFmt w:val="decimal"/>
      <w:lvlText w:val="%1."/>
      <w:lvlJc w:val="left"/>
      <w:pPr>
        <w:ind w:left="4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35276227"/>
    <w:multiLevelType w:val="singleLevel"/>
    <w:tmpl w:val="939C6034"/>
    <w:lvl w:ilvl="0">
      <w:numFmt w:val="bullet"/>
      <w:lvlText w:val="•"/>
      <w:lvlJc w:val="left"/>
      <w:pPr>
        <w:ind w:left="420" w:hanging="360"/>
      </w:pPr>
    </w:lvl>
  </w:abstractNum>
  <w:abstractNum w:abstractNumId="5" w15:restartNumberingAfterBreak="0">
    <w:nsid w:val="41C27AA0"/>
    <w:multiLevelType w:val="singleLevel"/>
    <w:tmpl w:val="2B54BF4E"/>
    <w:lvl w:ilvl="0">
      <w:start w:val="1"/>
      <w:numFmt w:val="upperRoman"/>
      <w:lvlText w:val="%1."/>
      <w:lvlJc w:val="left"/>
      <w:pPr>
        <w:ind w:left="420" w:hanging="360"/>
      </w:pPr>
    </w:lvl>
  </w:abstractNum>
  <w:abstractNum w:abstractNumId="6" w15:restartNumberingAfterBreak="0">
    <w:nsid w:val="70970FC7"/>
    <w:multiLevelType w:val="singleLevel"/>
    <w:tmpl w:val="DF763332"/>
    <w:lvl w:ilvl="0">
      <w:start w:val="1"/>
      <w:numFmt w:val="upperLetter"/>
      <w:lvlText w:val="%1."/>
      <w:lvlJc w:val="left"/>
      <w:pPr>
        <w:ind w:left="420" w:hanging="360"/>
      </w:pPr>
    </w:lvl>
  </w:abstractNum>
  <w:abstractNum w:abstractNumId="7" w15:restartNumberingAfterBreak="0">
    <w:nsid w:val="71CF5889"/>
    <w:multiLevelType w:val="singleLevel"/>
    <w:tmpl w:val="99305C0A"/>
    <w:lvl w:ilvl="0">
      <w:numFmt w:val="bullet"/>
      <w:lvlText w:val="▪"/>
      <w:lvlJc w:val="left"/>
      <w:pPr>
        <w:ind w:left="420" w:hanging="360"/>
      </w:pPr>
    </w:lvl>
  </w:abstractNum>
  <w:num w:numId="1" w16cid:durableId="1027367415">
    <w:abstractNumId w:val="3"/>
    <w:lvlOverride w:ilvl="0">
      <w:startOverride w:val="1"/>
    </w:lvlOverride>
  </w:num>
  <w:num w:numId="2" w16cid:durableId="2083595513">
    <w:abstractNumId w:val="3"/>
    <w:lvlOverride w:ilvl="0">
      <w:startOverride w:val="1"/>
    </w:lvlOverride>
  </w:num>
  <w:num w:numId="3" w16cid:durableId="164899760">
    <w:abstractNumId w:val="4"/>
    <w:lvlOverride w:ilvl="0">
      <w:startOverride w:val="1"/>
    </w:lvlOverride>
  </w:num>
  <w:num w:numId="4" w16cid:durableId="1804346554">
    <w:abstractNumId w:val="3"/>
    <w:lvlOverride w:ilvl="0">
      <w:startOverride w:val="1"/>
    </w:lvlOverride>
  </w:num>
  <w:num w:numId="5" w16cid:durableId="622883363">
    <w:abstractNumId w:val="3"/>
    <w:lvlOverride w:ilvl="0">
      <w:startOverride w:val="1"/>
    </w:lvlOverride>
  </w:num>
  <w:num w:numId="6" w16cid:durableId="1801729236">
    <w:abstractNumId w:val="4"/>
    <w:lvlOverride w:ilvl="0">
      <w:startOverride w:val="1"/>
    </w:lvlOverride>
  </w:num>
  <w:num w:numId="7" w16cid:durableId="1897933604">
    <w:abstractNumId w:val="3"/>
    <w:lvlOverride w:ilvl="0">
      <w:startOverride w:val="1"/>
    </w:lvlOverride>
  </w:num>
  <w:num w:numId="8" w16cid:durableId="586351025">
    <w:abstractNumId w:val="3"/>
    <w:lvlOverride w:ilvl="0">
      <w:startOverride w:val="1"/>
    </w:lvlOverride>
  </w:num>
  <w:num w:numId="9" w16cid:durableId="1234780029">
    <w:abstractNumId w:val="4"/>
    <w:lvlOverride w:ilvl="0">
      <w:startOverride w:val="1"/>
    </w:lvlOverride>
  </w:num>
  <w:num w:numId="10" w16cid:durableId="1148008909">
    <w:abstractNumId w:val="3"/>
    <w:lvlOverride w:ilvl="0">
      <w:startOverride w:val="1"/>
    </w:lvlOverride>
  </w:num>
  <w:num w:numId="11" w16cid:durableId="85002633">
    <w:abstractNumId w:val="4"/>
    <w:lvlOverride w:ilvl="0">
      <w:startOverride w:val="1"/>
    </w:lvlOverride>
  </w:num>
  <w:num w:numId="12" w16cid:durableId="2119132406">
    <w:abstractNumId w:val="4"/>
    <w:lvlOverride w:ilvl="0">
      <w:startOverride w:val="1"/>
    </w:lvlOverride>
  </w:num>
  <w:num w:numId="13" w16cid:durableId="356203212">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B"/>
    <w:rsid w:val="000401B9"/>
    <w:rsid w:val="00090302"/>
    <w:rsid w:val="000D7E81"/>
    <w:rsid w:val="001402F8"/>
    <w:rsid w:val="00161343"/>
    <w:rsid w:val="001B3418"/>
    <w:rsid w:val="002116B5"/>
    <w:rsid w:val="00241413"/>
    <w:rsid w:val="002B7CE7"/>
    <w:rsid w:val="002E0EC4"/>
    <w:rsid w:val="002E15C9"/>
    <w:rsid w:val="00336864"/>
    <w:rsid w:val="003B6369"/>
    <w:rsid w:val="00434998"/>
    <w:rsid w:val="004350FB"/>
    <w:rsid w:val="004447FF"/>
    <w:rsid w:val="0049772F"/>
    <w:rsid w:val="004E3BCD"/>
    <w:rsid w:val="00553CDF"/>
    <w:rsid w:val="005C2560"/>
    <w:rsid w:val="005D1C50"/>
    <w:rsid w:val="00601559"/>
    <w:rsid w:val="00615EA0"/>
    <w:rsid w:val="006345EB"/>
    <w:rsid w:val="0069778E"/>
    <w:rsid w:val="00752599"/>
    <w:rsid w:val="00762C94"/>
    <w:rsid w:val="007720CE"/>
    <w:rsid w:val="007E45C0"/>
    <w:rsid w:val="00815C9A"/>
    <w:rsid w:val="00832376"/>
    <w:rsid w:val="0085648F"/>
    <w:rsid w:val="00895D99"/>
    <w:rsid w:val="008B7D52"/>
    <w:rsid w:val="008C5984"/>
    <w:rsid w:val="008D2254"/>
    <w:rsid w:val="008D55C1"/>
    <w:rsid w:val="008F361E"/>
    <w:rsid w:val="00901C23"/>
    <w:rsid w:val="00912701"/>
    <w:rsid w:val="009834EA"/>
    <w:rsid w:val="00993DFA"/>
    <w:rsid w:val="009B67FD"/>
    <w:rsid w:val="009B765E"/>
    <w:rsid w:val="00A04B24"/>
    <w:rsid w:val="00A42E40"/>
    <w:rsid w:val="00A458AB"/>
    <w:rsid w:val="00AA0A0F"/>
    <w:rsid w:val="00AD6198"/>
    <w:rsid w:val="00B13427"/>
    <w:rsid w:val="00B41EA5"/>
    <w:rsid w:val="00B959B9"/>
    <w:rsid w:val="00BA4AE7"/>
    <w:rsid w:val="00BD197C"/>
    <w:rsid w:val="00BD2556"/>
    <w:rsid w:val="00BD7F5C"/>
    <w:rsid w:val="00BF33AC"/>
    <w:rsid w:val="00C407B2"/>
    <w:rsid w:val="00C716FC"/>
    <w:rsid w:val="00CE5856"/>
    <w:rsid w:val="00D25C88"/>
    <w:rsid w:val="00DC7D1B"/>
    <w:rsid w:val="00DD5004"/>
    <w:rsid w:val="00E32890"/>
    <w:rsid w:val="00EF57B9"/>
    <w:rsid w:val="00F1347F"/>
    <w:rsid w:val="00F71EF5"/>
    <w:rsid w:val="00F841BC"/>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699D0"/>
  <w15:chartTrackingRefBased/>
  <w15:docId w15:val="{F0C8B48E-8ADA-4147-9FBF-24413C5BB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l-SI"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normal"/>
    <w:qFormat/>
    <w:rsid w:val="002E15C9"/>
    <w:rPr>
      <w:rFonts w:ascii="Garamond" w:hAnsi="Garamond"/>
      <w:sz w:val="22"/>
    </w:rPr>
  </w:style>
  <w:style w:type="paragraph" w:styleId="Naslov1">
    <w:name w:val="heading 1"/>
    <w:aliases w:val="heading 1"/>
    <w:basedOn w:val="Navaden"/>
    <w:next w:val="Navaden"/>
    <w:link w:val="Naslov1Znak"/>
    <w:uiPriority w:val="9"/>
    <w:qFormat/>
    <w:rsid w:val="00895D99"/>
    <w:pPr>
      <w:keepNext/>
      <w:keepLines/>
      <w:pBdr>
        <w:top w:val="single" w:sz="4" w:space="1" w:color="auto"/>
        <w:left w:val="single" w:sz="4" w:space="4" w:color="auto"/>
        <w:bottom w:val="single" w:sz="4" w:space="1" w:color="auto"/>
        <w:right w:val="single" w:sz="4" w:space="4" w:color="auto"/>
      </w:pBdr>
      <w:spacing w:before="320" w:after="0" w:line="240" w:lineRule="auto"/>
      <w:jc w:val="center"/>
      <w:outlineLvl w:val="0"/>
    </w:pPr>
    <w:rPr>
      <w:rFonts w:eastAsiaTheme="majorEastAsia" w:cstheme="majorBidi"/>
      <w:caps/>
      <w:color w:val="7B230B" w:themeColor="accent1" w:themeShade="BF"/>
      <w:sz w:val="32"/>
      <w:szCs w:val="32"/>
    </w:rPr>
  </w:style>
  <w:style w:type="paragraph" w:styleId="Naslov2">
    <w:name w:val="heading 2"/>
    <w:aliases w:val="heading 2"/>
    <w:basedOn w:val="Navaden"/>
    <w:next w:val="Navaden"/>
    <w:link w:val="Naslov2Znak"/>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Naslov3">
    <w:name w:val="heading 3"/>
    <w:aliases w:val="heading 3"/>
    <w:basedOn w:val="Navaden"/>
    <w:next w:val="Navaden"/>
    <w:link w:val="Naslov3Znak"/>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Naslov4">
    <w:name w:val="heading 4"/>
    <w:aliases w:val="heading 4"/>
    <w:basedOn w:val="Navaden"/>
    <w:next w:val="Navaden"/>
    <w:link w:val="Naslov4Znak"/>
    <w:uiPriority w:val="9"/>
    <w:unhideWhenUsed/>
    <w:qFormat/>
    <w:rsid w:val="00F1347F"/>
    <w:pPr>
      <w:keepNext/>
      <w:keepLines/>
      <w:spacing w:before="40" w:after="0"/>
      <w:outlineLvl w:val="3"/>
    </w:pPr>
    <w:rPr>
      <w:rFonts w:eastAsiaTheme="majorEastAsia" w:cstheme="majorBidi"/>
      <w:szCs w:val="22"/>
    </w:rPr>
  </w:style>
  <w:style w:type="paragraph" w:styleId="Naslov5">
    <w:name w:val="heading 5"/>
    <w:aliases w:val="heading 5"/>
    <w:basedOn w:val="Navaden"/>
    <w:next w:val="Navaden"/>
    <w:link w:val="Naslov5Znak"/>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Naslov6">
    <w:name w:val="heading 6"/>
    <w:aliases w:val="heading 6"/>
    <w:basedOn w:val="Navaden"/>
    <w:next w:val="Navaden"/>
    <w:link w:val="Naslov6Znak"/>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Naslov7">
    <w:name w:val="heading 7"/>
    <w:basedOn w:val="Navaden"/>
    <w:next w:val="Navaden"/>
    <w:link w:val="Naslov7Znak"/>
    <w:uiPriority w:val="9"/>
    <w:semiHidden/>
    <w:unhideWhenUsed/>
    <w:qFormat/>
    <w:rsid w:val="002116B5"/>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Naslov8">
    <w:name w:val="heading 8"/>
    <w:basedOn w:val="Navaden"/>
    <w:next w:val="Navaden"/>
    <w:link w:val="Naslov8Znak"/>
    <w:uiPriority w:val="9"/>
    <w:semiHidden/>
    <w:unhideWhenUsed/>
    <w:qFormat/>
    <w:rsid w:val="002116B5"/>
    <w:pPr>
      <w:keepNext/>
      <w:keepLines/>
      <w:spacing w:before="40" w:after="0"/>
      <w:outlineLvl w:val="7"/>
    </w:pPr>
    <w:rPr>
      <w:rFonts w:asciiTheme="majorHAnsi" w:eastAsiaTheme="majorEastAsia" w:hAnsiTheme="majorHAnsi" w:cstheme="majorBidi"/>
      <w:b/>
      <w:bCs/>
      <w:color w:val="323232" w:themeColor="text2"/>
    </w:rPr>
  </w:style>
  <w:style w:type="paragraph" w:styleId="Naslov9">
    <w:name w:val="heading 9"/>
    <w:basedOn w:val="Navaden"/>
    <w:next w:val="Navaden"/>
    <w:link w:val="Naslov9Znak"/>
    <w:uiPriority w:val="9"/>
    <w:semiHidden/>
    <w:unhideWhenUsed/>
    <w:qFormat/>
    <w:rsid w:val="002116B5"/>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Znak"/>
    <w:basedOn w:val="Privzetapisavaodstavka"/>
    <w:link w:val="Naslov1"/>
    <w:uiPriority w:val="9"/>
    <w:rsid w:val="00895D99"/>
    <w:rPr>
      <w:rFonts w:eastAsiaTheme="majorEastAsia" w:cstheme="majorBidi"/>
      <w:caps/>
      <w:color w:val="7B230B" w:themeColor="accent1" w:themeShade="BF"/>
      <w:sz w:val="32"/>
      <w:szCs w:val="32"/>
    </w:rPr>
  </w:style>
  <w:style w:type="character" w:customStyle="1" w:styleId="Naslov2Znak">
    <w:name w:val="Naslov 2 Znak"/>
    <w:aliases w:val="heading 2 Znak"/>
    <w:basedOn w:val="Privzetapisavaodstavka"/>
    <w:link w:val="Naslov2"/>
    <w:uiPriority w:val="9"/>
    <w:rsid w:val="00F1347F"/>
    <w:rPr>
      <w:rFonts w:ascii="Arial" w:eastAsiaTheme="majorEastAsia" w:hAnsi="Arial" w:cstheme="majorBidi"/>
      <w:color w:val="404040" w:themeColor="text1" w:themeTint="BF"/>
      <w:sz w:val="28"/>
      <w:szCs w:val="28"/>
    </w:rPr>
  </w:style>
  <w:style w:type="character" w:customStyle="1" w:styleId="Naslov3Znak">
    <w:name w:val="Naslov 3 Znak"/>
    <w:aliases w:val="heading 3 Znak"/>
    <w:basedOn w:val="Privzetapisavaodstavka"/>
    <w:link w:val="Naslov3"/>
    <w:uiPriority w:val="9"/>
    <w:rsid w:val="00F1347F"/>
    <w:rPr>
      <w:rFonts w:ascii="Arial" w:eastAsiaTheme="majorEastAsia" w:hAnsi="Arial" w:cstheme="majorBidi"/>
      <w:color w:val="323232" w:themeColor="text2"/>
      <w:sz w:val="24"/>
      <w:szCs w:val="24"/>
    </w:rPr>
  </w:style>
  <w:style w:type="character" w:customStyle="1" w:styleId="Naslov4Znak">
    <w:name w:val="Naslov 4 Znak"/>
    <w:aliases w:val="heading 4 Znak"/>
    <w:basedOn w:val="Privzetapisavaodstavka"/>
    <w:link w:val="Naslov4"/>
    <w:uiPriority w:val="9"/>
    <w:rsid w:val="00F1347F"/>
    <w:rPr>
      <w:rFonts w:ascii="Arial" w:eastAsiaTheme="majorEastAsia" w:hAnsi="Arial" w:cstheme="majorBidi"/>
      <w:sz w:val="22"/>
      <w:szCs w:val="22"/>
    </w:rPr>
  </w:style>
  <w:style w:type="character" w:customStyle="1" w:styleId="Naslov5Znak">
    <w:name w:val="Naslov 5 Znak"/>
    <w:aliases w:val="heading 5 Znak"/>
    <w:basedOn w:val="Privzetapisavaodstavka"/>
    <w:link w:val="Naslov5"/>
    <w:uiPriority w:val="9"/>
    <w:rsid w:val="00F1347F"/>
    <w:rPr>
      <w:rFonts w:ascii="Arial" w:eastAsiaTheme="majorEastAsia" w:hAnsi="Arial" w:cstheme="majorBidi"/>
      <w:color w:val="323232" w:themeColor="text2"/>
      <w:sz w:val="22"/>
      <w:szCs w:val="22"/>
    </w:rPr>
  </w:style>
  <w:style w:type="character" w:customStyle="1" w:styleId="Naslov6Znak">
    <w:name w:val="Naslov 6 Znak"/>
    <w:aliases w:val="heading 6 Znak"/>
    <w:basedOn w:val="Privzetapisavaodstavka"/>
    <w:link w:val="Naslov6"/>
    <w:uiPriority w:val="9"/>
    <w:rsid w:val="00F1347F"/>
    <w:rPr>
      <w:rFonts w:ascii="Arial" w:eastAsiaTheme="majorEastAsia" w:hAnsi="Arial" w:cstheme="majorBidi"/>
      <w:i/>
      <w:iCs/>
      <w:color w:val="323232" w:themeColor="text2"/>
      <w:sz w:val="21"/>
      <w:szCs w:val="21"/>
    </w:rPr>
  </w:style>
  <w:style w:type="character" w:customStyle="1" w:styleId="Naslov7Znak">
    <w:name w:val="Naslov 7 Znak"/>
    <w:basedOn w:val="Privzetapisavaodstavka"/>
    <w:link w:val="Naslov7"/>
    <w:uiPriority w:val="9"/>
    <w:semiHidden/>
    <w:rsid w:val="002116B5"/>
    <w:rPr>
      <w:rFonts w:asciiTheme="majorHAnsi" w:eastAsiaTheme="majorEastAsia" w:hAnsiTheme="majorHAnsi" w:cstheme="majorBidi"/>
      <w:i/>
      <w:iCs/>
      <w:color w:val="521807" w:themeColor="accent1" w:themeShade="80"/>
      <w:sz w:val="21"/>
      <w:szCs w:val="21"/>
    </w:rPr>
  </w:style>
  <w:style w:type="character" w:customStyle="1" w:styleId="Naslov8Znak">
    <w:name w:val="Naslov 8 Znak"/>
    <w:basedOn w:val="Privzetapisavaodstavka"/>
    <w:link w:val="Naslov8"/>
    <w:uiPriority w:val="9"/>
    <w:semiHidden/>
    <w:rsid w:val="002116B5"/>
    <w:rPr>
      <w:rFonts w:asciiTheme="majorHAnsi" w:eastAsiaTheme="majorEastAsia" w:hAnsiTheme="majorHAnsi" w:cstheme="majorBidi"/>
      <w:b/>
      <w:bCs/>
      <w:color w:val="323232" w:themeColor="text2"/>
    </w:rPr>
  </w:style>
  <w:style w:type="character" w:customStyle="1" w:styleId="Naslov9Znak">
    <w:name w:val="Naslov 9 Znak"/>
    <w:basedOn w:val="Privzetapisavaodstavka"/>
    <w:link w:val="Naslov9"/>
    <w:uiPriority w:val="9"/>
    <w:semiHidden/>
    <w:rsid w:val="002116B5"/>
    <w:rPr>
      <w:rFonts w:asciiTheme="majorHAnsi" w:eastAsiaTheme="majorEastAsia" w:hAnsiTheme="majorHAnsi" w:cstheme="majorBidi"/>
      <w:b/>
      <w:bCs/>
      <w:i/>
      <w:iCs/>
      <w:color w:val="323232" w:themeColor="text2"/>
    </w:rPr>
  </w:style>
  <w:style w:type="paragraph" w:styleId="Napis">
    <w:name w:val="caption"/>
    <w:basedOn w:val="Navaden"/>
    <w:next w:val="Navaden"/>
    <w:uiPriority w:val="35"/>
    <w:semiHidden/>
    <w:unhideWhenUsed/>
    <w:qFormat/>
    <w:rsid w:val="002116B5"/>
    <w:pPr>
      <w:spacing w:line="240" w:lineRule="auto"/>
    </w:pPr>
    <w:rPr>
      <w:b/>
      <w:bCs/>
      <w:smallCaps/>
      <w:color w:val="595959" w:themeColor="text1" w:themeTint="A6"/>
      <w:spacing w:val="6"/>
    </w:rPr>
  </w:style>
  <w:style w:type="paragraph" w:styleId="Naslov">
    <w:name w:val="Title"/>
    <w:basedOn w:val="Navaden"/>
    <w:next w:val="Navaden"/>
    <w:link w:val="NaslovZnak"/>
    <w:uiPriority w:val="10"/>
    <w:qFormat/>
    <w:rsid w:val="002116B5"/>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NaslovZnak">
    <w:name w:val="Naslov Znak"/>
    <w:basedOn w:val="Privzetapisavaodstavka"/>
    <w:link w:val="Naslov"/>
    <w:uiPriority w:val="10"/>
    <w:rsid w:val="002116B5"/>
    <w:rPr>
      <w:rFonts w:asciiTheme="majorHAnsi" w:eastAsiaTheme="majorEastAsia" w:hAnsiTheme="majorHAnsi" w:cstheme="majorBidi"/>
      <w:color w:val="A5300F" w:themeColor="accent1"/>
      <w:spacing w:val="-10"/>
      <w:sz w:val="56"/>
      <w:szCs w:val="56"/>
    </w:rPr>
  </w:style>
  <w:style w:type="paragraph" w:styleId="Podnaslov">
    <w:name w:val="Subtitle"/>
    <w:basedOn w:val="Navaden"/>
    <w:next w:val="Navaden"/>
    <w:link w:val="PodnaslovZnak"/>
    <w:uiPriority w:val="11"/>
    <w:qFormat/>
    <w:rsid w:val="002116B5"/>
    <w:pPr>
      <w:numPr>
        <w:ilvl w:val="1"/>
      </w:numPr>
      <w:spacing w:line="240" w:lineRule="auto"/>
    </w:pPr>
    <w:rPr>
      <w:rFonts w:asciiTheme="majorHAnsi" w:eastAsiaTheme="majorEastAsia" w:hAnsiTheme="majorHAnsi" w:cstheme="majorBidi"/>
      <w:sz w:val="24"/>
      <w:szCs w:val="24"/>
    </w:rPr>
  </w:style>
  <w:style w:type="character" w:customStyle="1" w:styleId="PodnaslovZnak">
    <w:name w:val="Podnaslov Znak"/>
    <w:basedOn w:val="Privzetapisavaodstavka"/>
    <w:link w:val="Podnaslov"/>
    <w:uiPriority w:val="11"/>
    <w:rsid w:val="002116B5"/>
    <w:rPr>
      <w:rFonts w:asciiTheme="majorHAnsi" w:eastAsiaTheme="majorEastAsia" w:hAnsiTheme="majorHAnsi" w:cstheme="majorBidi"/>
      <w:sz w:val="24"/>
      <w:szCs w:val="24"/>
    </w:rPr>
  </w:style>
  <w:style w:type="character" w:styleId="Krepko">
    <w:name w:val="Strong"/>
    <w:basedOn w:val="Privzetapisavaodstavka"/>
    <w:uiPriority w:val="22"/>
    <w:qFormat/>
    <w:rsid w:val="002116B5"/>
    <w:rPr>
      <w:b/>
      <w:bCs/>
    </w:rPr>
  </w:style>
  <w:style w:type="character" w:styleId="Poudarek">
    <w:name w:val="Emphasis"/>
    <w:basedOn w:val="Privzetapisavaodstavka"/>
    <w:uiPriority w:val="20"/>
    <w:qFormat/>
    <w:rsid w:val="002116B5"/>
    <w:rPr>
      <w:i/>
      <w:iCs/>
    </w:rPr>
  </w:style>
  <w:style w:type="paragraph" w:styleId="Brezrazmikov">
    <w:name w:val="No Spacing"/>
    <w:uiPriority w:val="1"/>
    <w:qFormat/>
    <w:rsid w:val="002E15C9"/>
    <w:pPr>
      <w:spacing w:after="0" w:line="240" w:lineRule="auto"/>
    </w:pPr>
    <w:rPr>
      <w:rFonts w:ascii="Garamond" w:hAnsi="Garamond"/>
      <w:sz w:val="22"/>
    </w:rPr>
  </w:style>
  <w:style w:type="paragraph" w:styleId="Citat">
    <w:name w:val="Quote"/>
    <w:basedOn w:val="Navaden"/>
    <w:next w:val="Navaden"/>
    <w:link w:val="CitatZnak"/>
    <w:uiPriority w:val="29"/>
    <w:qFormat/>
    <w:rsid w:val="002116B5"/>
    <w:pPr>
      <w:spacing w:before="160"/>
      <w:ind w:left="720" w:right="720"/>
    </w:pPr>
    <w:rPr>
      <w:i/>
      <w:iCs/>
      <w:color w:val="404040" w:themeColor="text1" w:themeTint="BF"/>
    </w:rPr>
  </w:style>
  <w:style w:type="character" w:customStyle="1" w:styleId="CitatZnak">
    <w:name w:val="Citat Znak"/>
    <w:basedOn w:val="Privzetapisavaodstavka"/>
    <w:link w:val="Citat"/>
    <w:uiPriority w:val="29"/>
    <w:rsid w:val="002116B5"/>
    <w:rPr>
      <w:i/>
      <w:iCs/>
      <w:color w:val="404040" w:themeColor="text1" w:themeTint="BF"/>
    </w:rPr>
  </w:style>
  <w:style w:type="paragraph" w:styleId="Intenzivencitat">
    <w:name w:val="Intense Quote"/>
    <w:basedOn w:val="Navaden"/>
    <w:next w:val="Navaden"/>
    <w:link w:val="IntenzivencitatZnak"/>
    <w:uiPriority w:val="30"/>
    <w:qFormat/>
    <w:rsid w:val="002116B5"/>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zivencitatZnak">
    <w:name w:val="Intenziven citat Znak"/>
    <w:basedOn w:val="Privzetapisavaodstavka"/>
    <w:link w:val="Intenzivencitat"/>
    <w:uiPriority w:val="30"/>
    <w:rsid w:val="002116B5"/>
    <w:rPr>
      <w:rFonts w:asciiTheme="majorHAnsi" w:eastAsiaTheme="majorEastAsia" w:hAnsiTheme="majorHAnsi" w:cstheme="majorBidi"/>
      <w:color w:val="A5300F" w:themeColor="accent1"/>
      <w:sz w:val="28"/>
      <w:szCs w:val="28"/>
    </w:rPr>
  </w:style>
  <w:style w:type="character" w:styleId="Neenpoudarek">
    <w:name w:val="Subtle Emphasis"/>
    <w:basedOn w:val="Privzetapisavaodstavka"/>
    <w:uiPriority w:val="19"/>
    <w:qFormat/>
    <w:rsid w:val="002116B5"/>
    <w:rPr>
      <w:i/>
      <w:iCs/>
      <w:color w:val="404040" w:themeColor="text1" w:themeTint="BF"/>
    </w:rPr>
  </w:style>
  <w:style w:type="character" w:styleId="Intenzivenpoudarek">
    <w:name w:val="Intense Emphasis"/>
    <w:basedOn w:val="Privzetapisavaodstavka"/>
    <w:uiPriority w:val="21"/>
    <w:qFormat/>
    <w:rsid w:val="002116B5"/>
    <w:rPr>
      <w:b/>
      <w:bCs/>
      <w:i/>
      <w:iCs/>
    </w:rPr>
  </w:style>
  <w:style w:type="character" w:styleId="Neensklic">
    <w:name w:val="Subtle Reference"/>
    <w:basedOn w:val="Privzetapisavaodstavka"/>
    <w:uiPriority w:val="31"/>
    <w:qFormat/>
    <w:rsid w:val="002116B5"/>
    <w:rPr>
      <w:smallCaps/>
      <w:color w:val="404040" w:themeColor="text1" w:themeTint="BF"/>
      <w:u w:val="single" w:color="7F7F7F" w:themeColor="text1" w:themeTint="80"/>
    </w:rPr>
  </w:style>
  <w:style w:type="character" w:styleId="Intenzivensklic">
    <w:name w:val="Intense Reference"/>
    <w:basedOn w:val="Privzetapisavaodstavka"/>
    <w:uiPriority w:val="32"/>
    <w:qFormat/>
    <w:rsid w:val="002116B5"/>
    <w:rPr>
      <w:b/>
      <w:bCs/>
      <w:smallCaps/>
      <w:spacing w:val="5"/>
      <w:u w:val="single"/>
    </w:rPr>
  </w:style>
  <w:style w:type="character" w:styleId="Naslovknjige">
    <w:name w:val="Book Title"/>
    <w:basedOn w:val="Privzetapisavaodstavka"/>
    <w:uiPriority w:val="33"/>
    <w:qFormat/>
    <w:rsid w:val="002116B5"/>
    <w:rPr>
      <w:b/>
      <w:bCs/>
      <w:smallCaps/>
    </w:rPr>
  </w:style>
  <w:style w:type="paragraph" w:styleId="NaslovTOC">
    <w:name w:val="TOC Heading"/>
    <w:basedOn w:val="Naslov1"/>
    <w:next w:val="Navaden"/>
    <w:uiPriority w:val="39"/>
    <w:semiHidden/>
    <w:unhideWhenUsed/>
    <w:qFormat/>
    <w:rsid w:val="002116B5"/>
    <w:pPr>
      <w:outlineLvl w:val="9"/>
    </w:pPr>
  </w:style>
  <w:style w:type="table" w:styleId="Tabelamrea">
    <w:name w:val="Table Grid"/>
    <w:basedOn w:val="Navadnatabela"/>
    <w:uiPriority w:val="39"/>
    <w:rsid w:val="0076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1">
    <w:name w:val="Plain Table 1"/>
    <w:basedOn w:val="Navadnatabela"/>
    <w:uiPriority w:val="41"/>
    <w:rsid w:val="00762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1poudarek4">
    <w:name w:val="Grid Table 1 Light Accent 4"/>
    <w:basedOn w:val="Navadnatabela"/>
    <w:uiPriority w:val="46"/>
    <w:rsid w:val="00AD6198"/>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Tabelasvetlamrea">
    <w:name w:val="Grid Table Light"/>
    <w:basedOn w:val="Navadnatabela"/>
    <w:uiPriority w:val="40"/>
    <w:rsid w:val="00B13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vetlamrea1poudarek1">
    <w:name w:val="Grid Table 1 Light Accent 1"/>
    <w:basedOn w:val="Navadnatabela"/>
    <w:uiPriority w:val="46"/>
    <w:rsid w:val="00BD7F5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customStyle="1" w:styleId="PlainTable">
    <w:name w:val="PlainTable"/>
    <w:basedOn w:val="Tabelasvetlamrea"/>
    <w:uiPriority w:val="99"/>
    <w:rsid w:val="00B13427"/>
    <w:tblPr/>
  </w:style>
  <w:style w:type="paragraph" w:styleId="Odstavekseznama">
    <w:name w:val="List Paragraph"/>
    <w:aliases w:val="ListParagraph"/>
    <w:basedOn w:val="Navaden"/>
    <w:uiPriority w:val="34"/>
    <w:qFormat/>
    <w:rsid w:val="00C407B2"/>
    <w:pPr>
      <w:ind w:left="720"/>
      <w:contextualSpacing/>
    </w:pPr>
  </w:style>
  <w:style w:type="table" w:styleId="Tabelasvetlamrea1">
    <w:name w:val="Grid Table 1 Light"/>
    <w:basedOn w:val="Navadnatabela"/>
    <w:uiPriority w:val="46"/>
    <w:rsid w:val="000D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faultTable">
    <w:name w:val="DefaultTable"/>
    <w:basedOn w:val="Tabelasvetlamrea"/>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customStyle="1" w:styleId="VerticalTable">
    <w:name w:val="VerticalTable"/>
    <w:basedOn w:val="Tabelasvetlamrea"/>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customStyle="1" w:styleId="ParagraphTable">
    <w:name w:val="ParagraphTable"/>
    <w:basedOn w:val="Tabelasvetlamrea"/>
    <w:uiPriority w:val="99"/>
    <w:rsid w:val="008D2254"/>
    <w:pPr>
      <w:spacing w:after="120"/>
    </w:pPr>
    <w:tblPr/>
    <w:tblStylePr w:type="firstRow">
      <w:pPr>
        <w:wordWrap/>
        <w:spacing w:afterLines="0" w:after="0" w:afterAutospacing="0"/>
      </w:pPr>
      <w:rPr>
        <w:b/>
      </w:rPr>
      <w:tblPr/>
      <w:tcPr>
        <w:tcBorders>
          <w:top w:val="nil"/>
          <w:left w:val="nil"/>
          <w:bottom w:val="nil"/>
          <w:right w:val="nil"/>
          <w:insideH w:val="nil"/>
          <w:insideV w:val="nil"/>
          <w:tl2br w:val="nil"/>
          <w:tr2bl w:val="nil"/>
        </w:tcBorders>
      </w:tcPr>
    </w:tblStylePr>
  </w:style>
  <w:style w:type="table" w:customStyle="1" w:styleId="NestedTable">
    <w:name w:val="NestedTable"/>
    <w:basedOn w:val="Tabelamrea"/>
    <w:uiPriority w:val="99"/>
    <w:rsid w:val="007E45C0"/>
    <w:tblP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Pr>
    <w:tblStylePr w:type="firstRow">
      <w:rPr>
        <w:i/>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CD00D-0C8E-4472-80BA-C9C968F10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1846</Words>
  <Characters>10527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Marentič, Maja</cp:lastModifiedBy>
  <cp:revision>2</cp:revision>
  <dcterms:created xsi:type="dcterms:W3CDTF">2025-05-09T09:18:00Z</dcterms:created>
  <dcterms:modified xsi:type="dcterms:W3CDTF">2025-05-09T09:18:00Z</dcterms:modified>
</cp:coreProperties>
</file>