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89F89" w14:textId="77777777" w:rsidR="00D52365" w:rsidRDefault="00325153">
      <w:pPr>
        <w:pStyle w:val="Heading1"/>
      </w:pPr>
      <w:r>
        <w:t>Mednarodno pravo in EU</w:t>
      </w:r>
      <w:r>
        <w:br/>
      </w:r>
      <w:r>
        <w:br/>
        <w:t>Učni načrt predmeta/Course syllabus</w:t>
      </w:r>
    </w:p>
    <w:tbl>
      <w:tblPr>
        <w:tblStyle w:val="VerticalTable"/>
        <w:tblW w:w="5000" w:type="pct"/>
        <w:tblLook w:val="04A0" w:firstRow="1" w:lastRow="0" w:firstColumn="1" w:lastColumn="0" w:noHBand="0" w:noVBand="1"/>
      </w:tblPr>
      <w:tblGrid>
        <w:gridCol w:w="4812"/>
        <w:gridCol w:w="4821"/>
      </w:tblGrid>
      <w:tr w:rsidR="00D52365" w14:paraId="075CC315"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2E3D0AC2" w14:textId="77777777" w:rsidR="00D52365" w:rsidRDefault="00325153">
            <w:r>
              <w:t>Predmet:</w:t>
            </w:r>
          </w:p>
        </w:tc>
        <w:tc>
          <w:tcPr>
            <w:tcW w:w="0" w:type="pct"/>
          </w:tcPr>
          <w:p w14:paraId="76D292F5" w14:textId="77777777" w:rsidR="00D52365" w:rsidRDefault="00325153">
            <w:pPr>
              <w:cnfStyle w:val="000000000000" w:firstRow="0" w:lastRow="0" w:firstColumn="0" w:lastColumn="0" w:oddVBand="0" w:evenVBand="0" w:oddHBand="0" w:evenHBand="0" w:firstRowFirstColumn="0" w:firstRowLastColumn="0" w:lastRowFirstColumn="0" w:lastRowLastColumn="0"/>
            </w:pPr>
            <w:r>
              <w:t>Mednarodno pravo in EU</w:t>
            </w:r>
          </w:p>
        </w:tc>
      </w:tr>
      <w:tr w:rsidR="00D52365" w14:paraId="7F113EB3"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0CB4BCB2" w14:textId="77777777" w:rsidR="00D52365" w:rsidRDefault="00325153">
            <w:r>
              <w:t>Course title:</w:t>
            </w:r>
          </w:p>
        </w:tc>
        <w:tc>
          <w:tcPr>
            <w:tcW w:w="0" w:type="pct"/>
          </w:tcPr>
          <w:p w14:paraId="0CB7B7C2" w14:textId="77777777" w:rsidR="00D52365" w:rsidRDefault="00325153">
            <w:pPr>
              <w:cnfStyle w:val="000000000000" w:firstRow="0" w:lastRow="0" w:firstColumn="0" w:lastColumn="0" w:oddVBand="0" w:evenVBand="0" w:oddHBand="0" w:evenHBand="0" w:firstRowFirstColumn="0" w:firstRowLastColumn="0" w:lastRowFirstColumn="0" w:lastRowLastColumn="0"/>
            </w:pPr>
            <w:r>
              <w:t>International law and EU</w:t>
            </w:r>
          </w:p>
        </w:tc>
      </w:tr>
      <w:tr w:rsidR="00D52365" w14:paraId="626CBA48"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539F6631" w14:textId="77777777" w:rsidR="00D52365" w:rsidRDefault="00325153">
            <w:r>
              <w:t>Članica nosilka/UL Member:</w:t>
            </w:r>
          </w:p>
        </w:tc>
        <w:tc>
          <w:tcPr>
            <w:tcW w:w="0" w:type="pct"/>
          </w:tcPr>
          <w:p w14:paraId="252047BC" w14:textId="77777777" w:rsidR="00D52365" w:rsidRDefault="00325153">
            <w:pPr>
              <w:cnfStyle w:val="000000000000" w:firstRow="0" w:lastRow="0" w:firstColumn="0" w:lastColumn="0" w:oddVBand="0" w:evenVBand="0" w:oddHBand="0" w:evenHBand="0" w:firstRowFirstColumn="0" w:firstRowLastColumn="0" w:lastRowFirstColumn="0" w:lastRowLastColumn="0"/>
            </w:pPr>
            <w:r>
              <w:t>UL PF</w:t>
            </w:r>
          </w:p>
        </w:tc>
      </w:tr>
    </w:tbl>
    <w:p w14:paraId="003344D6" w14:textId="77777777" w:rsidR="00D52365" w:rsidRDefault="00D52365"/>
    <w:tbl>
      <w:tblPr>
        <w:tblStyle w:val="DefaultTable"/>
        <w:tblW w:w="5000" w:type="pct"/>
        <w:tblLook w:val="04A0" w:firstRow="1" w:lastRow="0" w:firstColumn="1" w:lastColumn="0" w:noHBand="0" w:noVBand="1"/>
      </w:tblPr>
      <w:tblGrid>
        <w:gridCol w:w="1900"/>
        <w:gridCol w:w="2147"/>
        <w:gridCol w:w="1718"/>
        <w:gridCol w:w="1988"/>
        <w:gridCol w:w="1885"/>
      </w:tblGrid>
      <w:tr w:rsidR="00D52365" w14:paraId="397643AA" w14:textId="77777777" w:rsidTr="00D17319">
        <w:trPr>
          <w:cnfStyle w:val="100000000000" w:firstRow="1" w:lastRow="0" w:firstColumn="0" w:lastColumn="0" w:oddVBand="0" w:evenVBand="0" w:oddHBand="0" w:evenHBand="0" w:firstRowFirstColumn="0" w:firstRowLastColumn="0" w:lastRowFirstColumn="0" w:lastRowLastColumn="0"/>
        </w:trPr>
        <w:tc>
          <w:tcPr>
            <w:tcW w:w="0" w:type="pct"/>
          </w:tcPr>
          <w:p w14:paraId="49E46FB4" w14:textId="77777777" w:rsidR="00D52365" w:rsidRDefault="00325153">
            <w:r>
              <w:t>Študijski programi in stopnja</w:t>
            </w:r>
          </w:p>
        </w:tc>
        <w:tc>
          <w:tcPr>
            <w:tcW w:w="0" w:type="pct"/>
          </w:tcPr>
          <w:p w14:paraId="5B9E1B71" w14:textId="77777777" w:rsidR="00D52365" w:rsidRDefault="00325153">
            <w:r>
              <w:t>Študijska smer</w:t>
            </w:r>
          </w:p>
        </w:tc>
        <w:tc>
          <w:tcPr>
            <w:tcW w:w="0" w:type="pct"/>
          </w:tcPr>
          <w:p w14:paraId="5B8F981D" w14:textId="77777777" w:rsidR="00D52365" w:rsidRDefault="00325153">
            <w:r>
              <w:t>Letnik</w:t>
            </w:r>
          </w:p>
        </w:tc>
        <w:tc>
          <w:tcPr>
            <w:tcW w:w="0" w:type="pct"/>
          </w:tcPr>
          <w:p w14:paraId="2ECB771D" w14:textId="77777777" w:rsidR="00D52365" w:rsidRDefault="00325153">
            <w:r>
              <w:t>Semestri</w:t>
            </w:r>
          </w:p>
        </w:tc>
        <w:tc>
          <w:tcPr>
            <w:tcW w:w="0" w:type="pct"/>
          </w:tcPr>
          <w:p w14:paraId="4EA56090" w14:textId="77777777" w:rsidR="00D52365" w:rsidRDefault="00325153">
            <w:r>
              <w:t>Izbirnost</w:t>
            </w:r>
          </w:p>
        </w:tc>
      </w:tr>
      <w:tr w:rsidR="00D52365" w14:paraId="46CA446E" w14:textId="77777777" w:rsidTr="00D17319">
        <w:tc>
          <w:tcPr>
            <w:tcW w:w="0" w:type="pct"/>
          </w:tcPr>
          <w:p w14:paraId="090E91F3" w14:textId="77777777" w:rsidR="00D52365" w:rsidRDefault="00325153">
            <w:r>
              <w:t>Pravo, tretja stopnja, doktorski</w:t>
            </w:r>
          </w:p>
        </w:tc>
        <w:tc>
          <w:tcPr>
            <w:tcW w:w="0" w:type="pct"/>
          </w:tcPr>
          <w:p w14:paraId="0F01CBCE" w14:textId="77777777" w:rsidR="00D52365" w:rsidRDefault="00325153">
            <w:r>
              <w:t xml:space="preserve">Mednarodno pravo (modul)                </w:t>
            </w:r>
          </w:p>
        </w:tc>
        <w:tc>
          <w:tcPr>
            <w:tcW w:w="0" w:type="pct"/>
          </w:tcPr>
          <w:p w14:paraId="52F45DF9" w14:textId="77777777" w:rsidR="00D52365" w:rsidRDefault="00325153">
            <w:r>
              <w:t>1. letnik</w:t>
            </w:r>
          </w:p>
        </w:tc>
        <w:tc>
          <w:tcPr>
            <w:tcW w:w="0" w:type="pct"/>
          </w:tcPr>
          <w:p w14:paraId="03C605E2" w14:textId="77777777" w:rsidR="00D52365" w:rsidRDefault="00325153">
            <w:r>
              <w:t>2. semester</w:t>
            </w:r>
          </w:p>
        </w:tc>
        <w:tc>
          <w:tcPr>
            <w:tcW w:w="0" w:type="pct"/>
          </w:tcPr>
          <w:p w14:paraId="5EDC5C35" w14:textId="77777777" w:rsidR="00D52365" w:rsidRDefault="00325153">
            <w:r>
              <w:t>obvezni</w:t>
            </w:r>
          </w:p>
        </w:tc>
      </w:tr>
    </w:tbl>
    <w:p w14:paraId="58B00E5F" w14:textId="77777777" w:rsidR="00D52365" w:rsidRDefault="00D52365"/>
    <w:tbl>
      <w:tblPr>
        <w:tblStyle w:val="VerticalTable"/>
        <w:tblW w:w="5000" w:type="pct"/>
        <w:tblLook w:val="04A0" w:firstRow="1" w:lastRow="0" w:firstColumn="1" w:lastColumn="0" w:noHBand="0" w:noVBand="1"/>
      </w:tblPr>
      <w:tblGrid>
        <w:gridCol w:w="5437"/>
        <w:gridCol w:w="4196"/>
      </w:tblGrid>
      <w:tr w:rsidR="00D52365" w14:paraId="126BB0FA"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75242741" w14:textId="77777777" w:rsidR="00D52365" w:rsidRDefault="00325153">
            <w:r>
              <w:t>Univerzitetna koda predmeta/University course code:</w:t>
            </w:r>
          </w:p>
        </w:tc>
        <w:tc>
          <w:tcPr>
            <w:tcW w:w="0" w:type="pct"/>
          </w:tcPr>
          <w:p w14:paraId="0702D32A" w14:textId="77777777" w:rsidR="00D52365" w:rsidRDefault="00325153">
            <w:pPr>
              <w:cnfStyle w:val="000000000000" w:firstRow="0" w:lastRow="0" w:firstColumn="0" w:lastColumn="0" w:oddVBand="0" w:evenVBand="0" w:oddHBand="0" w:evenHBand="0" w:firstRowFirstColumn="0" w:firstRowLastColumn="0" w:lastRowFirstColumn="0" w:lastRowLastColumn="0"/>
            </w:pPr>
            <w:r>
              <w:t>0045913</w:t>
            </w:r>
          </w:p>
        </w:tc>
      </w:tr>
      <w:tr w:rsidR="00D52365" w14:paraId="246D56B0"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48711B92" w14:textId="77777777" w:rsidR="00D52365" w:rsidRDefault="00325153">
            <w:r>
              <w:t>Koda učne enote na članici/UL Member course code:</w:t>
            </w:r>
          </w:p>
        </w:tc>
        <w:tc>
          <w:tcPr>
            <w:tcW w:w="0" w:type="pct"/>
          </w:tcPr>
          <w:p w14:paraId="363B8515" w14:textId="77777777" w:rsidR="00D52365" w:rsidRDefault="00325153">
            <w:pPr>
              <w:cnfStyle w:val="000000000000" w:firstRow="0" w:lastRow="0" w:firstColumn="0" w:lastColumn="0" w:oddVBand="0" w:evenVBand="0" w:oddHBand="0" w:evenHBand="0" w:firstRowFirstColumn="0" w:firstRowLastColumn="0" w:lastRowFirstColumn="0" w:lastRowLastColumn="0"/>
            </w:pPr>
            <w:r>
              <w:t>526</w:t>
            </w:r>
          </w:p>
        </w:tc>
      </w:tr>
    </w:tbl>
    <w:p w14:paraId="11A37289" w14:textId="77777777" w:rsidR="00D52365" w:rsidRDefault="00D52365"/>
    <w:tbl>
      <w:tblPr>
        <w:tblStyle w:val="DefaultTable"/>
        <w:tblW w:w="5000" w:type="pct"/>
        <w:tblLook w:val="04A0" w:firstRow="1" w:lastRow="0" w:firstColumn="1" w:lastColumn="0" w:noHBand="0" w:noVBand="1"/>
      </w:tblPr>
      <w:tblGrid>
        <w:gridCol w:w="1545"/>
        <w:gridCol w:w="1400"/>
        <w:gridCol w:w="1483"/>
        <w:gridCol w:w="1352"/>
        <w:gridCol w:w="1178"/>
        <w:gridCol w:w="1599"/>
        <w:gridCol w:w="1081"/>
      </w:tblGrid>
      <w:tr w:rsidR="00D52365" w14:paraId="08D911E7" w14:textId="77777777" w:rsidTr="00D17319">
        <w:trPr>
          <w:cnfStyle w:val="100000000000" w:firstRow="1" w:lastRow="0" w:firstColumn="0" w:lastColumn="0" w:oddVBand="0" w:evenVBand="0" w:oddHBand="0" w:evenHBand="0" w:firstRowFirstColumn="0" w:firstRowLastColumn="0" w:lastRowFirstColumn="0" w:lastRowLastColumn="0"/>
        </w:trPr>
        <w:tc>
          <w:tcPr>
            <w:tcW w:w="0" w:type="pct"/>
          </w:tcPr>
          <w:p w14:paraId="466DA804" w14:textId="77777777" w:rsidR="00D52365" w:rsidRDefault="00325153">
            <w:pPr>
              <w:keepNext/>
              <w:jc w:val="center"/>
            </w:pPr>
            <w:r>
              <w:t>Predavanja</w:t>
            </w:r>
            <w:r>
              <w:br/>
              <w:t>/Lectures</w:t>
            </w:r>
          </w:p>
        </w:tc>
        <w:tc>
          <w:tcPr>
            <w:tcW w:w="0" w:type="pct"/>
          </w:tcPr>
          <w:p w14:paraId="77D38EC5" w14:textId="77777777" w:rsidR="00D52365" w:rsidRDefault="00325153">
            <w:pPr>
              <w:keepNext/>
              <w:jc w:val="center"/>
            </w:pPr>
            <w:r>
              <w:t>Seminar</w:t>
            </w:r>
            <w:r>
              <w:br/>
              <w:t>/Seminar</w:t>
            </w:r>
          </w:p>
        </w:tc>
        <w:tc>
          <w:tcPr>
            <w:tcW w:w="0" w:type="pct"/>
          </w:tcPr>
          <w:p w14:paraId="0A191C4C" w14:textId="77777777" w:rsidR="00D52365" w:rsidRDefault="00325153">
            <w:pPr>
              <w:keepNext/>
              <w:jc w:val="center"/>
            </w:pPr>
            <w:r>
              <w:t>Vaje</w:t>
            </w:r>
            <w:r>
              <w:br/>
              <w:t>/Tutorials</w:t>
            </w:r>
          </w:p>
        </w:tc>
        <w:tc>
          <w:tcPr>
            <w:tcW w:w="0" w:type="pct"/>
          </w:tcPr>
          <w:p w14:paraId="005F4556" w14:textId="77777777" w:rsidR="00D52365" w:rsidRDefault="00325153">
            <w:pPr>
              <w:keepNext/>
              <w:jc w:val="center"/>
            </w:pPr>
            <w:r>
              <w:t>Klinične vaje</w:t>
            </w:r>
            <w:r>
              <w:br/>
              <w:t>/Clinical tutorials</w:t>
            </w:r>
          </w:p>
        </w:tc>
        <w:tc>
          <w:tcPr>
            <w:tcW w:w="0" w:type="pct"/>
          </w:tcPr>
          <w:p w14:paraId="61F3B0C8" w14:textId="77777777" w:rsidR="00D52365" w:rsidRDefault="00325153">
            <w:pPr>
              <w:keepNext/>
              <w:jc w:val="center"/>
            </w:pPr>
            <w:r>
              <w:t>Druge oblike študija</w:t>
            </w:r>
            <w:r>
              <w:br/>
              <w:t>/Other forms of study</w:t>
            </w:r>
          </w:p>
        </w:tc>
        <w:tc>
          <w:tcPr>
            <w:tcW w:w="0" w:type="pct"/>
          </w:tcPr>
          <w:p w14:paraId="5CD1DFDE" w14:textId="77777777" w:rsidR="00D52365" w:rsidRDefault="00325153">
            <w:pPr>
              <w:keepNext/>
              <w:jc w:val="center"/>
            </w:pPr>
            <w:r>
              <w:t>Samostojno delo</w:t>
            </w:r>
            <w:r>
              <w:br/>
              <w:t>/Individual student work</w:t>
            </w:r>
          </w:p>
        </w:tc>
        <w:tc>
          <w:tcPr>
            <w:tcW w:w="0" w:type="pct"/>
          </w:tcPr>
          <w:p w14:paraId="7A862F7F" w14:textId="77777777" w:rsidR="00D52365" w:rsidRDefault="00325153">
            <w:pPr>
              <w:keepNext/>
              <w:jc w:val="center"/>
            </w:pPr>
            <w:r>
              <w:t>ECTS</w:t>
            </w:r>
          </w:p>
        </w:tc>
      </w:tr>
      <w:tr w:rsidR="00D52365" w14:paraId="053BF08A" w14:textId="77777777" w:rsidTr="00D17319">
        <w:tc>
          <w:tcPr>
            <w:tcW w:w="0" w:type="auto"/>
          </w:tcPr>
          <w:p w14:paraId="0A907AA7" w14:textId="77777777" w:rsidR="00D52365" w:rsidRDefault="00325153">
            <w:pPr>
              <w:keepNext/>
              <w:jc w:val="center"/>
            </w:pPr>
            <w:r>
              <w:t>30</w:t>
            </w:r>
          </w:p>
        </w:tc>
        <w:tc>
          <w:tcPr>
            <w:tcW w:w="0" w:type="auto"/>
          </w:tcPr>
          <w:p w14:paraId="63BE00D4" w14:textId="77777777" w:rsidR="00D52365" w:rsidRDefault="00325153">
            <w:pPr>
              <w:keepNext/>
              <w:jc w:val="center"/>
            </w:pPr>
            <w:r>
              <w:t>0</w:t>
            </w:r>
          </w:p>
        </w:tc>
        <w:tc>
          <w:tcPr>
            <w:tcW w:w="0" w:type="auto"/>
          </w:tcPr>
          <w:p w14:paraId="0B32ACA5" w14:textId="77777777" w:rsidR="00D52365" w:rsidRDefault="00325153">
            <w:pPr>
              <w:keepNext/>
              <w:jc w:val="center"/>
            </w:pPr>
            <w:r>
              <w:t>15</w:t>
            </w:r>
          </w:p>
        </w:tc>
        <w:tc>
          <w:tcPr>
            <w:tcW w:w="0" w:type="auto"/>
          </w:tcPr>
          <w:p w14:paraId="3215F170" w14:textId="77777777" w:rsidR="00D52365" w:rsidRDefault="00325153">
            <w:pPr>
              <w:keepNext/>
              <w:jc w:val="center"/>
            </w:pPr>
            <w:r>
              <w:t>0</w:t>
            </w:r>
          </w:p>
        </w:tc>
        <w:tc>
          <w:tcPr>
            <w:tcW w:w="0" w:type="auto"/>
          </w:tcPr>
          <w:p w14:paraId="0EDC11B5" w14:textId="77777777" w:rsidR="00D52365" w:rsidRDefault="00325153">
            <w:pPr>
              <w:keepNext/>
              <w:jc w:val="center"/>
            </w:pPr>
            <w:r>
              <w:t>80</w:t>
            </w:r>
          </w:p>
        </w:tc>
        <w:tc>
          <w:tcPr>
            <w:tcW w:w="0" w:type="auto"/>
          </w:tcPr>
          <w:p w14:paraId="2BA01330" w14:textId="77777777" w:rsidR="00D52365" w:rsidRDefault="00325153">
            <w:pPr>
              <w:keepNext/>
              <w:jc w:val="center"/>
            </w:pPr>
            <w:r>
              <w:t>125</w:t>
            </w:r>
          </w:p>
        </w:tc>
        <w:tc>
          <w:tcPr>
            <w:tcW w:w="0" w:type="auto"/>
          </w:tcPr>
          <w:p w14:paraId="370CE863" w14:textId="77777777" w:rsidR="00D52365" w:rsidRDefault="00325153">
            <w:pPr>
              <w:keepNext/>
              <w:jc w:val="center"/>
            </w:pPr>
            <w:r>
              <w:t>10</w:t>
            </w:r>
          </w:p>
        </w:tc>
      </w:tr>
    </w:tbl>
    <w:p w14:paraId="6787980D" w14:textId="77777777" w:rsidR="00D52365" w:rsidRDefault="00D52365"/>
    <w:tbl>
      <w:tblPr>
        <w:tblStyle w:val="VerticalTable"/>
        <w:tblW w:w="5000" w:type="pct"/>
        <w:tblLook w:val="04A0" w:firstRow="1" w:lastRow="0" w:firstColumn="1" w:lastColumn="0" w:noHBand="0" w:noVBand="1"/>
      </w:tblPr>
      <w:tblGrid>
        <w:gridCol w:w="3083"/>
        <w:gridCol w:w="6550"/>
      </w:tblGrid>
      <w:tr w:rsidR="00D52365" w14:paraId="34CBE516" w14:textId="77777777" w:rsidTr="00D52365">
        <w:tc>
          <w:tcPr>
            <w:cnfStyle w:val="001000000000" w:firstRow="0" w:lastRow="0" w:firstColumn="1" w:lastColumn="0" w:oddVBand="0" w:evenVBand="0" w:oddHBand="0" w:evenHBand="0" w:firstRowFirstColumn="0" w:firstRowLastColumn="0" w:lastRowFirstColumn="0" w:lastRowLastColumn="0"/>
            <w:tcW w:w="1600" w:type="pct"/>
          </w:tcPr>
          <w:p w14:paraId="57E11438" w14:textId="77777777" w:rsidR="00D52365" w:rsidRDefault="00325153">
            <w:r>
              <w:t>Nosilec predmeta/Lecturer:</w:t>
            </w:r>
          </w:p>
        </w:tc>
        <w:tc>
          <w:tcPr>
            <w:tcW w:w="3400" w:type="pct"/>
          </w:tcPr>
          <w:p w14:paraId="70D19EF4" w14:textId="27136321" w:rsidR="00D52365" w:rsidRDefault="00663C7D">
            <w:pPr>
              <w:cnfStyle w:val="000000000000" w:firstRow="0" w:lastRow="0" w:firstColumn="0" w:lastColumn="0" w:oddVBand="0" w:evenVBand="0" w:oddHBand="0" w:evenHBand="0" w:firstRowFirstColumn="0" w:firstRowLastColumn="0" w:lastRowFirstColumn="0" w:lastRowLastColumn="0"/>
            </w:pPr>
            <w:r>
              <w:t xml:space="preserve">doc. dr. Maša Kovič Dine, </w:t>
            </w:r>
            <w:r w:rsidR="0048591B">
              <w:t>doc. dr. Maruša Tekavčič Veber</w:t>
            </w:r>
          </w:p>
        </w:tc>
      </w:tr>
    </w:tbl>
    <w:p w14:paraId="0D204CCB" w14:textId="77777777" w:rsidR="00D52365" w:rsidRDefault="00D52365"/>
    <w:tbl>
      <w:tblPr>
        <w:tblStyle w:val="VerticalTable"/>
        <w:tblW w:w="5000" w:type="pct"/>
        <w:tblLook w:val="04A0" w:firstRow="1" w:lastRow="0" w:firstColumn="1" w:lastColumn="0" w:noHBand="0" w:noVBand="1"/>
      </w:tblPr>
      <w:tblGrid>
        <w:gridCol w:w="3083"/>
        <w:gridCol w:w="6550"/>
      </w:tblGrid>
      <w:tr w:rsidR="00D52365" w14:paraId="2F425A97" w14:textId="77777777" w:rsidTr="00D52365">
        <w:tc>
          <w:tcPr>
            <w:cnfStyle w:val="001000000000" w:firstRow="0" w:lastRow="0" w:firstColumn="1" w:lastColumn="0" w:oddVBand="0" w:evenVBand="0" w:oddHBand="0" w:evenHBand="0" w:firstRowFirstColumn="0" w:firstRowLastColumn="0" w:lastRowFirstColumn="0" w:lastRowLastColumn="0"/>
            <w:tcW w:w="1600" w:type="pct"/>
          </w:tcPr>
          <w:p w14:paraId="2B2ECC62" w14:textId="77777777" w:rsidR="00D52365" w:rsidRDefault="00325153">
            <w:r>
              <w:t>Izvajalci predavanj:</w:t>
            </w:r>
          </w:p>
        </w:tc>
        <w:tc>
          <w:tcPr>
            <w:tcW w:w="3400" w:type="pct"/>
          </w:tcPr>
          <w:p w14:paraId="3D638DC4" w14:textId="2DCEA72E" w:rsidR="00D52365" w:rsidRDefault="00663C7D">
            <w:pPr>
              <w:cnfStyle w:val="000000000000" w:firstRow="0" w:lastRow="0" w:firstColumn="0" w:lastColumn="0" w:oddVBand="0" w:evenVBand="0" w:oddHBand="0" w:evenHBand="0" w:firstRowFirstColumn="0" w:firstRowLastColumn="0" w:lastRowFirstColumn="0" w:lastRowLastColumn="0"/>
            </w:pPr>
            <w:r>
              <w:t xml:space="preserve">doc. dr. Maša Kovič Dine, </w:t>
            </w:r>
            <w:r w:rsidR="0048591B">
              <w:t>doc. dr. Maruša Tekavčič Veber</w:t>
            </w:r>
          </w:p>
        </w:tc>
      </w:tr>
      <w:tr w:rsidR="00D52365" w14:paraId="2654FE5A"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1F9A2A26" w14:textId="77777777" w:rsidR="00D52365" w:rsidRDefault="00325153">
            <w:r>
              <w:t>Izvajalci seminarjev:</w:t>
            </w:r>
          </w:p>
        </w:tc>
        <w:tc>
          <w:tcPr>
            <w:tcW w:w="0" w:type="pct"/>
          </w:tcPr>
          <w:p w14:paraId="784FBEBB" w14:textId="77777777" w:rsidR="00D52365" w:rsidRDefault="00D52365">
            <w:pPr>
              <w:cnfStyle w:val="000000000000" w:firstRow="0" w:lastRow="0" w:firstColumn="0" w:lastColumn="0" w:oddVBand="0" w:evenVBand="0" w:oddHBand="0" w:evenHBand="0" w:firstRowFirstColumn="0" w:firstRowLastColumn="0" w:lastRowFirstColumn="0" w:lastRowLastColumn="0"/>
            </w:pPr>
          </w:p>
        </w:tc>
      </w:tr>
      <w:tr w:rsidR="00D52365" w14:paraId="3B9794DE" w14:textId="77777777" w:rsidTr="00D52365">
        <w:tc>
          <w:tcPr>
            <w:cnfStyle w:val="001000000000" w:firstRow="0" w:lastRow="0" w:firstColumn="1" w:lastColumn="0" w:oddVBand="0" w:evenVBand="0" w:oddHBand="0" w:evenHBand="0" w:firstRowFirstColumn="0" w:firstRowLastColumn="0" w:lastRowFirstColumn="0" w:lastRowLastColumn="0"/>
            <w:tcW w:w="1600" w:type="pct"/>
          </w:tcPr>
          <w:p w14:paraId="25AE8442" w14:textId="77777777" w:rsidR="00D52365" w:rsidRDefault="00325153">
            <w:r>
              <w:t>Izvajalci vaj:</w:t>
            </w:r>
          </w:p>
        </w:tc>
        <w:tc>
          <w:tcPr>
            <w:tcW w:w="3400" w:type="pct"/>
          </w:tcPr>
          <w:p w14:paraId="3314AF58" w14:textId="6BF06068" w:rsidR="00D52365" w:rsidRDefault="00663C7D">
            <w:pPr>
              <w:cnfStyle w:val="000000000000" w:firstRow="0" w:lastRow="0" w:firstColumn="0" w:lastColumn="0" w:oddVBand="0" w:evenVBand="0" w:oddHBand="0" w:evenHBand="0" w:firstRowFirstColumn="0" w:firstRowLastColumn="0" w:lastRowFirstColumn="0" w:lastRowLastColumn="0"/>
            </w:pPr>
            <w:r>
              <w:t xml:space="preserve">doc. dr. Maša Kovič Dine, </w:t>
            </w:r>
            <w:r w:rsidR="0048591B">
              <w:t>doc. dr. Maruša Tekavčič Veber</w:t>
            </w:r>
          </w:p>
        </w:tc>
      </w:tr>
      <w:tr w:rsidR="00D52365" w14:paraId="07A8CE27"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4136D094" w14:textId="77777777" w:rsidR="00D52365" w:rsidRDefault="00325153">
            <w:r>
              <w:t>Izvajalci kliničnih vaj:</w:t>
            </w:r>
          </w:p>
        </w:tc>
        <w:tc>
          <w:tcPr>
            <w:tcW w:w="0" w:type="pct"/>
          </w:tcPr>
          <w:p w14:paraId="6EECA5FD" w14:textId="77777777" w:rsidR="00D52365" w:rsidRDefault="00D52365">
            <w:pPr>
              <w:cnfStyle w:val="000000000000" w:firstRow="0" w:lastRow="0" w:firstColumn="0" w:lastColumn="0" w:oddVBand="0" w:evenVBand="0" w:oddHBand="0" w:evenHBand="0" w:firstRowFirstColumn="0" w:firstRowLastColumn="0" w:lastRowFirstColumn="0" w:lastRowLastColumn="0"/>
            </w:pPr>
          </w:p>
        </w:tc>
      </w:tr>
      <w:tr w:rsidR="00D52365" w14:paraId="21FCF817" w14:textId="77777777" w:rsidTr="00D52365">
        <w:tc>
          <w:tcPr>
            <w:cnfStyle w:val="001000000000" w:firstRow="0" w:lastRow="0" w:firstColumn="1" w:lastColumn="0" w:oddVBand="0" w:evenVBand="0" w:oddHBand="0" w:evenHBand="0" w:firstRowFirstColumn="0" w:firstRowLastColumn="0" w:lastRowFirstColumn="0" w:lastRowLastColumn="0"/>
            <w:tcW w:w="1600" w:type="pct"/>
          </w:tcPr>
          <w:p w14:paraId="71F96F94" w14:textId="77777777" w:rsidR="00D52365" w:rsidRDefault="00325153">
            <w:r>
              <w:t>Izvajalci drugih oblik:</w:t>
            </w:r>
          </w:p>
        </w:tc>
        <w:tc>
          <w:tcPr>
            <w:tcW w:w="3400" w:type="pct"/>
          </w:tcPr>
          <w:p w14:paraId="093A7090" w14:textId="7FAF67AB" w:rsidR="00D52365" w:rsidRDefault="00663C7D">
            <w:pPr>
              <w:cnfStyle w:val="000000000000" w:firstRow="0" w:lastRow="0" w:firstColumn="0" w:lastColumn="0" w:oddVBand="0" w:evenVBand="0" w:oddHBand="0" w:evenHBand="0" w:firstRowFirstColumn="0" w:firstRowLastColumn="0" w:lastRowFirstColumn="0" w:lastRowLastColumn="0"/>
            </w:pPr>
            <w:r>
              <w:t xml:space="preserve">doc. dr. Maša Kovič Dine, </w:t>
            </w:r>
            <w:r w:rsidR="0048591B">
              <w:t>doc. dr. Maruša Tekavčič Veber</w:t>
            </w:r>
          </w:p>
        </w:tc>
      </w:tr>
      <w:tr w:rsidR="00D52365" w14:paraId="6263235B"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00C6518B" w14:textId="77777777" w:rsidR="00D52365" w:rsidRDefault="00325153">
            <w:r>
              <w:t>Izvajalci praktičnega usposabljanja:</w:t>
            </w:r>
          </w:p>
        </w:tc>
        <w:tc>
          <w:tcPr>
            <w:tcW w:w="0" w:type="pct"/>
          </w:tcPr>
          <w:p w14:paraId="5332E40A" w14:textId="77777777" w:rsidR="00D52365" w:rsidRDefault="00D52365">
            <w:pPr>
              <w:cnfStyle w:val="000000000000" w:firstRow="0" w:lastRow="0" w:firstColumn="0" w:lastColumn="0" w:oddVBand="0" w:evenVBand="0" w:oddHBand="0" w:evenHBand="0" w:firstRowFirstColumn="0" w:firstRowLastColumn="0" w:lastRowFirstColumn="0" w:lastRowLastColumn="0"/>
            </w:pPr>
          </w:p>
        </w:tc>
      </w:tr>
    </w:tbl>
    <w:p w14:paraId="1050498E" w14:textId="77777777" w:rsidR="00D52365" w:rsidRDefault="00D52365"/>
    <w:tbl>
      <w:tblPr>
        <w:tblStyle w:val="VerticalTable"/>
        <w:tblW w:w="5000" w:type="pct"/>
        <w:tblLook w:val="04A0" w:firstRow="1" w:lastRow="0" w:firstColumn="1" w:lastColumn="0" w:noHBand="0" w:noVBand="1"/>
      </w:tblPr>
      <w:tblGrid>
        <w:gridCol w:w="4816"/>
        <w:gridCol w:w="4817"/>
      </w:tblGrid>
      <w:tr w:rsidR="00D52365" w14:paraId="180279B2"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73228AD9" w14:textId="77777777" w:rsidR="00D52365" w:rsidRDefault="00325153">
            <w:r>
              <w:t>Vrsta predmeta/Course type:</w:t>
            </w:r>
          </w:p>
        </w:tc>
        <w:tc>
          <w:tcPr>
            <w:tcW w:w="0" w:type="pct"/>
          </w:tcPr>
          <w:p w14:paraId="0F35A4DD" w14:textId="77777777" w:rsidR="00D52365" w:rsidRDefault="00325153">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3203591D" w14:textId="77777777" w:rsidR="00D52365" w:rsidRDefault="00D52365"/>
    <w:tbl>
      <w:tblPr>
        <w:tblStyle w:val="VerticalTable"/>
        <w:tblW w:w="5000" w:type="pct"/>
        <w:tblLook w:val="04A0" w:firstRow="1" w:lastRow="0" w:firstColumn="1" w:lastColumn="0" w:noHBand="0" w:noVBand="1"/>
      </w:tblPr>
      <w:tblGrid>
        <w:gridCol w:w="3429"/>
        <w:gridCol w:w="3512"/>
        <w:gridCol w:w="2692"/>
      </w:tblGrid>
      <w:tr w:rsidR="00D52365" w14:paraId="421AE3A5"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457E70E5" w14:textId="77777777" w:rsidR="00D52365" w:rsidRDefault="00325153">
            <w:r>
              <w:t>Jeziki/Languages:</w:t>
            </w:r>
          </w:p>
        </w:tc>
        <w:tc>
          <w:tcPr>
            <w:tcW w:w="0" w:type="pct"/>
          </w:tcPr>
          <w:p w14:paraId="1EBDE659" w14:textId="77777777" w:rsidR="00D52365" w:rsidRDefault="00325153">
            <w:pPr>
              <w:cnfStyle w:val="000000000000" w:firstRow="0" w:lastRow="0" w:firstColumn="0" w:lastColumn="0" w:oddVBand="0" w:evenVBand="0" w:oddHBand="0" w:evenHBand="0" w:firstRowFirstColumn="0" w:firstRowLastColumn="0" w:lastRowFirstColumn="0" w:lastRowLastColumn="0"/>
            </w:pPr>
            <w:r>
              <w:t>Predavanja/Lectures:</w:t>
            </w:r>
          </w:p>
        </w:tc>
        <w:tc>
          <w:tcPr>
            <w:tcW w:w="0" w:type="pct"/>
          </w:tcPr>
          <w:p w14:paraId="763AA00C" w14:textId="77777777" w:rsidR="00D52365" w:rsidRDefault="00325153">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D52365" w14:paraId="32B9435A" w14:textId="77777777" w:rsidTr="00D17319">
        <w:tc>
          <w:tcPr>
            <w:cnfStyle w:val="001000000000" w:firstRow="0" w:lastRow="0" w:firstColumn="1" w:lastColumn="0" w:oddVBand="0" w:evenVBand="0" w:oddHBand="0" w:evenHBand="0" w:firstRowFirstColumn="0" w:firstRowLastColumn="0" w:lastRowFirstColumn="0" w:lastRowLastColumn="0"/>
            <w:tcW w:w="0" w:type="pct"/>
          </w:tcPr>
          <w:p w14:paraId="1C9C1160" w14:textId="77777777" w:rsidR="00D52365" w:rsidRDefault="00D52365"/>
        </w:tc>
        <w:tc>
          <w:tcPr>
            <w:tcW w:w="0" w:type="pct"/>
          </w:tcPr>
          <w:p w14:paraId="2A5360F3" w14:textId="77777777" w:rsidR="00D52365" w:rsidRDefault="00325153">
            <w:pPr>
              <w:cnfStyle w:val="000000000000" w:firstRow="0" w:lastRow="0" w:firstColumn="0" w:lastColumn="0" w:oddVBand="0" w:evenVBand="0" w:oddHBand="0" w:evenHBand="0" w:firstRowFirstColumn="0" w:firstRowLastColumn="0" w:lastRowFirstColumn="0" w:lastRowLastColumn="0"/>
            </w:pPr>
            <w:r>
              <w:t>Vaje/Tutorial:</w:t>
            </w:r>
          </w:p>
        </w:tc>
        <w:tc>
          <w:tcPr>
            <w:tcW w:w="0" w:type="pct"/>
          </w:tcPr>
          <w:p w14:paraId="5BBB1248" w14:textId="77777777" w:rsidR="00D52365" w:rsidRDefault="00325153">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08599C74" w14:textId="77777777" w:rsidR="00D52365" w:rsidRDefault="00D52365"/>
    <w:tbl>
      <w:tblPr>
        <w:tblStyle w:val="DefaultTable"/>
        <w:tblW w:w="5000" w:type="pct"/>
        <w:tblLook w:val="04A0" w:firstRow="1" w:lastRow="0" w:firstColumn="1" w:lastColumn="0" w:noHBand="0" w:noVBand="1"/>
      </w:tblPr>
      <w:tblGrid>
        <w:gridCol w:w="4757"/>
        <w:gridCol w:w="4881"/>
      </w:tblGrid>
      <w:tr w:rsidR="00D52365" w14:paraId="13743920" w14:textId="77777777" w:rsidTr="00D17319">
        <w:trPr>
          <w:cnfStyle w:val="100000000000" w:firstRow="1" w:lastRow="0" w:firstColumn="0" w:lastColumn="0" w:oddVBand="0" w:evenVBand="0" w:oddHBand="0" w:evenHBand="0" w:firstRowFirstColumn="0" w:firstRowLastColumn="0" w:lastRowFirstColumn="0" w:lastRowLastColumn="0"/>
        </w:trPr>
        <w:tc>
          <w:tcPr>
            <w:tcW w:w="0" w:type="pct"/>
          </w:tcPr>
          <w:p w14:paraId="70D3CFED" w14:textId="77777777" w:rsidR="00D52365" w:rsidRDefault="00325153">
            <w:r>
              <w:t>Pogoji za vključitev v delo oz. za opravljanje študijskih obveznosti:</w:t>
            </w:r>
          </w:p>
        </w:tc>
        <w:tc>
          <w:tcPr>
            <w:tcW w:w="0" w:type="pct"/>
          </w:tcPr>
          <w:p w14:paraId="08DCA35F" w14:textId="77777777" w:rsidR="00D52365" w:rsidRDefault="00325153">
            <w:r>
              <w:t>Prerequisites:</w:t>
            </w:r>
          </w:p>
        </w:tc>
      </w:tr>
      <w:tr w:rsidR="00D52365" w14:paraId="129277B0" w14:textId="77777777" w:rsidTr="00D17319">
        <w:tc>
          <w:tcPr>
            <w:tcW w:w="0" w:type="auto"/>
          </w:tcPr>
          <w:p w14:paraId="6CC02A48" w14:textId="77777777" w:rsidR="00D52365" w:rsidRDefault="00325153">
            <w:r>
              <w:t>Izpolnjevanje pogojev za vpis na doktorski študij Pravo in osnovno znanje s področja predmeta, ki ustreza znanju na tem področju, pridobljenem na ravni prve in (ali) druge stopnje študija prava.</w:t>
            </w:r>
          </w:p>
        </w:tc>
        <w:tc>
          <w:tcPr>
            <w:tcW w:w="0" w:type="auto"/>
          </w:tcPr>
          <w:p w14:paraId="23230C10" w14:textId="77777777" w:rsidR="00D52365" w:rsidRDefault="00325153">
            <w:r>
              <w:t>General conditions for enrolment into the Doctoral Programme in Legal Studies with a basic knowledge of the subject at the level of first and (or) second cycle programme in Legal Studies.</w:t>
            </w:r>
          </w:p>
        </w:tc>
      </w:tr>
    </w:tbl>
    <w:p w14:paraId="1806656B" w14:textId="77777777" w:rsidR="00D52365" w:rsidRDefault="00D52365"/>
    <w:tbl>
      <w:tblPr>
        <w:tblStyle w:val="DefaultTable"/>
        <w:tblW w:w="5000" w:type="pct"/>
        <w:tblLook w:val="04A0" w:firstRow="1" w:lastRow="0" w:firstColumn="1" w:lastColumn="0" w:noHBand="0" w:noVBand="1"/>
      </w:tblPr>
      <w:tblGrid>
        <w:gridCol w:w="4725"/>
        <w:gridCol w:w="4913"/>
      </w:tblGrid>
      <w:tr w:rsidR="00D52365" w14:paraId="4971C1EB" w14:textId="77777777" w:rsidTr="00D17319">
        <w:trPr>
          <w:cnfStyle w:val="100000000000" w:firstRow="1" w:lastRow="0" w:firstColumn="0" w:lastColumn="0" w:oddVBand="0" w:evenVBand="0" w:oddHBand="0" w:evenHBand="0" w:firstRowFirstColumn="0" w:firstRowLastColumn="0" w:lastRowFirstColumn="0" w:lastRowLastColumn="0"/>
        </w:trPr>
        <w:tc>
          <w:tcPr>
            <w:tcW w:w="0" w:type="pct"/>
          </w:tcPr>
          <w:p w14:paraId="486D827A" w14:textId="77777777" w:rsidR="00D52365" w:rsidRDefault="00325153">
            <w:r>
              <w:t>Vsebina:</w:t>
            </w:r>
          </w:p>
        </w:tc>
        <w:tc>
          <w:tcPr>
            <w:tcW w:w="0" w:type="pct"/>
          </w:tcPr>
          <w:p w14:paraId="2C335C89" w14:textId="77777777" w:rsidR="00D52365" w:rsidRDefault="00325153">
            <w:r>
              <w:t>Content (Syllabus outline):</w:t>
            </w:r>
          </w:p>
        </w:tc>
      </w:tr>
      <w:tr w:rsidR="00D52365" w14:paraId="785556E1" w14:textId="77777777">
        <w:tc>
          <w:tcPr>
            <w:tcW w:w="0" w:type="auto"/>
          </w:tcPr>
          <w:p w14:paraId="2C293F85" w14:textId="77777777" w:rsidR="00D52365" w:rsidRDefault="00325153">
            <w:r>
              <w:lastRenderedPageBreak/>
              <w:t>Predmet izhaja iz področja mednarodnega prava in prava EU.</w:t>
            </w:r>
          </w:p>
          <w:p w14:paraId="4576A16A" w14:textId="77777777" w:rsidR="00D52365" w:rsidRDefault="00325153">
            <w:r>
              <w:t>Študijski program se prilagaja aktualnim problemom z navedenih področjih in predvsem razvoju pravnih pravil in sodne prakse. Osrednja pozornost bo namenjena obravnavi določenih vprašanj znotraj posamičnih tem, ki niso predmet poglobljene obravnave na prvi in drugi stopnji univerzitetnega študija. Temeljna poglavja znotraj katerih se bodo obravnavala posamična vprašanja so razvidna iz osnovne strukture predmeta:</w:t>
            </w:r>
          </w:p>
          <w:p w14:paraId="731B4003" w14:textId="77777777" w:rsidR="00D52365" w:rsidRDefault="00325153">
            <w:r>
              <w:t>1. EU: supranacionalna in medvladna pravna narava</w:t>
            </w:r>
          </w:p>
          <w:p w14:paraId="7773B17E" w14:textId="77777777" w:rsidR="00D52365" w:rsidRDefault="00325153">
            <w:r>
              <w:t>2. Pristojnosti držav članic in EU</w:t>
            </w:r>
          </w:p>
          <w:p w14:paraId="2C6D1919" w14:textId="77777777" w:rsidR="00D52365" w:rsidRDefault="00325153">
            <w:r>
              <w:t>3. Mednarodno pravo v pravnem redu EU</w:t>
            </w:r>
          </w:p>
          <w:p w14:paraId="7068A454" w14:textId="77777777" w:rsidR="00D52365" w:rsidRDefault="00325153">
            <w:r>
              <w:t>3.1. Mednarodne pogodbe</w:t>
            </w:r>
          </w:p>
          <w:p w14:paraId="797518F5" w14:textId="77777777" w:rsidR="00D52365" w:rsidRDefault="00325153">
            <w:r>
              <w:t>3.2. Mednarodno običajno pravo</w:t>
            </w:r>
          </w:p>
          <w:p w14:paraId="1C4B652B" w14:textId="77777777" w:rsidR="00D52365" w:rsidRDefault="00325153">
            <w:r>
              <w:t>3.3. Pomen in učinki 103. člena Ustanovne listine OZN</w:t>
            </w:r>
          </w:p>
          <w:p w14:paraId="1374E755" w14:textId="50D1BFD8" w:rsidR="0048591B" w:rsidRDefault="0048591B">
            <w:r>
              <w:t>4. Avtonomija pravnega reda EU in odnos med mednarodnim pravom in pravom EU v sodni praksi Sodišča EU</w:t>
            </w:r>
          </w:p>
          <w:p w14:paraId="06DB7103" w14:textId="05672DF5" w:rsidR="00D52365" w:rsidRDefault="0048591B">
            <w:r>
              <w:t>5</w:t>
            </w:r>
            <w:r w:rsidR="00325153">
              <w:t xml:space="preserve">. </w:t>
            </w:r>
            <w:r w:rsidR="00325153">
              <w:t>Pristop EU h EKČP</w:t>
            </w:r>
          </w:p>
          <w:p w14:paraId="2B8B3E5B" w14:textId="77777777" w:rsidR="00D52365" w:rsidRDefault="0048591B">
            <w:r>
              <w:t>6</w:t>
            </w:r>
            <w:r w:rsidR="00325153">
              <w:t>. Preplet mednarodnega in EU okoljskega prava</w:t>
            </w:r>
          </w:p>
          <w:p w14:paraId="17E400BA" w14:textId="77777777" w:rsidR="00D52365" w:rsidRDefault="00325153">
            <w:r>
              <w:t>Dodatne vsebine se bodo dodajale glede na dosežen pravni razvoj v času izvajanja predmeta.</w:t>
            </w:r>
          </w:p>
        </w:tc>
        <w:tc>
          <w:tcPr>
            <w:tcW w:w="0" w:type="auto"/>
          </w:tcPr>
          <w:p w14:paraId="20FCA6FB" w14:textId="77777777" w:rsidR="00D52365" w:rsidRDefault="00325153">
            <w:r>
              <w:t>The course derives from the discipline of international and EU law.</w:t>
            </w:r>
          </w:p>
          <w:p w14:paraId="179EA2A2" w14:textId="77777777" w:rsidR="00D52365" w:rsidRDefault="00325153">
            <w:r>
              <w:t>The study program is adjusted to address the topical problems from the discussed discipline, specifically the development of legal norms and case law. The focus of the course will be particular issues within the discussed topics that have not been discussed so far at the first and second study stage. The fundamental questions discussed will be within the scope of the following structure of the course:</w:t>
            </w:r>
          </w:p>
          <w:p w14:paraId="3BD1E436" w14:textId="77777777" w:rsidR="00D52365" w:rsidRDefault="00325153">
            <w:r>
              <w:t>1. EU: supranational and intergovernmental legal nature</w:t>
            </w:r>
          </w:p>
          <w:p w14:paraId="7E2CD0C4" w14:textId="77777777" w:rsidR="00D52365" w:rsidRDefault="00325153">
            <w:r>
              <w:t>2. Competence of Member States and EU</w:t>
            </w:r>
          </w:p>
          <w:p w14:paraId="1851F7A6" w14:textId="77777777" w:rsidR="00D52365" w:rsidRDefault="00325153">
            <w:r>
              <w:t>3. International law in the legal order of the EU</w:t>
            </w:r>
          </w:p>
          <w:p w14:paraId="1B966C4E" w14:textId="77777777" w:rsidR="00D52365" w:rsidRDefault="00325153">
            <w:r>
              <w:t>3.1. Treaties</w:t>
            </w:r>
          </w:p>
          <w:p w14:paraId="74C5AD5F" w14:textId="77777777" w:rsidR="00D52365" w:rsidRDefault="00325153">
            <w:r>
              <w:t>3.2. Customary international law</w:t>
            </w:r>
          </w:p>
          <w:p w14:paraId="5E9908D3" w14:textId="77777777" w:rsidR="00D52365" w:rsidRDefault="00325153">
            <w:r>
              <w:t>3.3. Role and effects of Article 103. Of the UN Charter</w:t>
            </w:r>
          </w:p>
          <w:p w14:paraId="2FF47579" w14:textId="625AB4DE" w:rsidR="0048591B" w:rsidRDefault="0048591B">
            <w:r>
              <w:t>4. The autonomy of the EU law and the relationship between international and EU law in the case law of the European Court of Justice</w:t>
            </w:r>
          </w:p>
          <w:p w14:paraId="504B6F3C" w14:textId="4CD99093" w:rsidR="00D52365" w:rsidRDefault="0048591B">
            <w:r>
              <w:t>5</w:t>
            </w:r>
            <w:r w:rsidR="00325153">
              <w:t>. The EU accession to the ECHR</w:t>
            </w:r>
          </w:p>
          <w:p w14:paraId="78F72730" w14:textId="77777777" w:rsidR="00D52365" w:rsidRDefault="0048591B">
            <w:r>
              <w:t>6</w:t>
            </w:r>
            <w:r w:rsidR="00325153">
              <w:t>. Interaction of international and EU environmental law</w:t>
            </w:r>
          </w:p>
          <w:p w14:paraId="3CA746D6" w14:textId="77777777" w:rsidR="00D52365" w:rsidRDefault="00325153">
            <w:r>
              <w:t>Additional issues will be added to the curriculum due to new legal developments in the course of the lecture period.</w:t>
            </w:r>
          </w:p>
        </w:tc>
      </w:tr>
    </w:tbl>
    <w:p w14:paraId="7CF2FF74" w14:textId="77777777" w:rsidR="00D52365" w:rsidRDefault="00D52365"/>
    <w:tbl>
      <w:tblPr>
        <w:tblStyle w:val="DefaultTable"/>
        <w:tblW w:w="5000" w:type="pct"/>
        <w:tblLook w:val="04A0" w:firstRow="1" w:lastRow="0" w:firstColumn="1" w:lastColumn="0" w:noHBand="0" w:noVBand="1"/>
      </w:tblPr>
      <w:tblGrid>
        <w:gridCol w:w="9638"/>
      </w:tblGrid>
      <w:tr w:rsidR="00D52365" w14:paraId="38E81C49" w14:textId="77777777" w:rsidTr="00D17319">
        <w:trPr>
          <w:cnfStyle w:val="100000000000" w:firstRow="1" w:lastRow="0" w:firstColumn="0" w:lastColumn="0" w:oddVBand="0" w:evenVBand="0" w:oddHBand="0" w:evenHBand="0" w:firstRowFirstColumn="0" w:firstRowLastColumn="0" w:lastRowFirstColumn="0" w:lastRowLastColumn="0"/>
        </w:trPr>
        <w:tc>
          <w:tcPr>
            <w:tcW w:w="0" w:type="auto"/>
          </w:tcPr>
          <w:p w14:paraId="113EFFCD" w14:textId="77777777" w:rsidR="00D52365" w:rsidRDefault="00325153">
            <w:r>
              <w:t>Temeljna literatura in viri/Readings:</w:t>
            </w:r>
          </w:p>
        </w:tc>
      </w:tr>
      <w:tr w:rsidR="00D52365" w14:paraId="7C7AAB61" w14:textId="77777777">
        <w:tc>
          <w:tcPr>
            <w:tcW w:w="0" w:type="auto"/>
          </w:tcPr>
          <w:p w14:paraId="3B91FAEE" w14:textId="09EB0D77" w:rsidR="00D52365" w:rsidRDefault="00325153">
            <w:r>
              <w:t xml:space="preserve">CRAIG, P. P., DE BURCA, G.: EU LAW: Text, Cases, and Materials, </w:t>
            </w:r>
            <w:r w:rsidR="0048591B">
              <w:t>7</w:t>
            </w:r>
            <w:r>
              <w:t>th Edition, Oxford University Press, 2</w:t>
            </w:r>
            <w:r w:rsidR="0048591B">
              <w:t>020</w:t>
            </w:r>
            <w:r>
              <w:t>.</w:t>
            </w:r>
          </w:p>
          <w:p w14:paraId="6A545134" w14:textId="1970562A" w:rsidR="0048591B" w:rsidRDefault="0048591B" w:rsidP="0048591B">
            <w:r>
              <w:t>LENAERTS, K. in VAN NUFFEL, P. (ur.: CORTHAUT, T..): EU Constitutional Law, Oxford University Press 2022.</w:t>
            </w:r>
          </w:p>
          <w:p w14:paraId="3FBC2270" w14:textId="77777777" w:rsidR="00D52365" w:rsidRDefault="00325153">
            <w:r>
              <w:t>.</w:t>
            </w:r>
          </w:p>
          <w:p w14:paraId="2F8207C4" w14:textId="77777777" w:rsidR="0048591B" w:rsidRDefault="0048591B">
            <w:r>
              <w:t xml:space="preserve">MOLNAR T., WESSEL, R.: Interactions Between EU Law and International Law, Edward Elgar, 2024. </w:t>
            </w:r>
          </w:p>
          <w:p w14:paraId="2A70C551" w14:textId="77777777" w:rsidR="0048591B" w:rsidRDefault="0048591B" w:rsidP="0048591B">
            <w:pPr>
              <w:jc w:val="both"/>
            </w:pPr>
            <w:r>
              <w:t xml:space="preserve">TEKAVČIČ VEBER, </w:t>
            </w:r>
            <w:r>
              <w:rPr>
                <w:rFonts w:eastAsia="MS Mincho" w:cs="Calibri"/>
                <w:bCs/>
                <w:szCs w:val="22"/>
              </w:rPr>
              <w:t>M.,</w:t>
            </w:r>
            <w:r>
              <w:t xml:space="preserve"> MEDIŽEVEC, A.: </w:t>
            </w:r>
            <w:r w:rsidRPr="00E22B27">
              <w:rPr>
                <w:iCs/>
              </w:rPr>
              <w:t>Moldova v Komstroy : LLC, Judgment, reference for a preliminary ruling, 2nd October 2021 (Case C-741/19, ECLI:EU:C:2021:655), OXIO 785</w:t>
            </w:r>
            <w:r>
              <w:t xml:space="preserve">. 2024. 1 spletni vir. Oxford international organizations. </w:t>
            </w:r>
            <w:hyperlink r:id="rId8" w:tgtFrame="_blank" w:history="1">
              <w:r>
                <w:rPr>
                  <w:rStyle w:val="Hyperlink"/>
                </w:rPr>
                <w:t>https://opil.ouplaw.com/display/10.1093/law-oxio/e785.013.1/law-oxio-e785?rskey=HfNqwJ&amp;result=1&amp;prd=OXIO</w:t>
              </w:r>
            </w:hyperlink>
            <w:r>
              <w:t>.</w:t>
            </w:r>
          </w:p>
          <w:p w14:paraId="434E8978" w14:textId="05A64B20" w:rsidR="0048591B" w:rsidRDefault="0048591B" w:rsidP="0048591B">
            <w:pPr>
              <w:jc w:val="both"/>
              <w:rPr>
                <w:rFonts w:eastAsia="MS Mincho" w:cs="Calibri"/>
                <w:bCs/>
                <w:szCs w:val="22"/>
              </w:rPr>
            </w:pPr>
            <w:r>
              <w:t xml:space="preserve">TEKAVČIČ VEBER, </w:t>
            </w:r>
            <w:r>
              <w:rPr>
                <w:rFonts w:eastAsia="MS Mincho" w:cs="Calibri"/>
                <w:bCs/>
                <w:szCs w:val="22"/>
              </w:rPr>
              <w:t>M.,</w:t>
            </w:r>
            <w:r>
              <w:t xml:space="preserve"> MEDIŽEVEC, A.: </w:t>
            </w:r>
            <w:r w:rsidRPr="00E22B27">
              <w:rPr>
                <w:iCs/>
              </w:rPr>
              <w:t>R. (on the application of PJSC Rosneft Oil Company (formerly OJSC Rosneft Oil Company)) v Her Majesty’s Treasury and ors : judgment ereference for a preliminary ruling, 28th March 2017 (Case C-72/15, ECLI:EU:C:2017:236), OXIO 784</w:t>
            </w:r>
            <w:r>
              <w:t xml:space="preserve">. 2024. 1 spletni vir. Oxford international organizations. </w:t>
            </w:r>
            <w:hyperlink r:id="rId9" w:tgtFrame="_blank" w:history="1">
              <w:r>
                <w:rPr>
                  <w:rStyle w:val="Hyperlink"/>
                </w:rPr>
                <w:t>https://opil.ouplaw.com/display/10.1093/law-oxio/e784.013.1/law-oxio-e784?rskey=vfufUH&amp;result=2&amp;prd=OXIO</w:t>
              </w:r>
            </w:hyperlink>
            <w:r>
              <w:t>.</w:t>
            </w:r>
          </w:p>
          <w:p w14:paraId="36FCA0A7" w14:textId="77777777" w:rsidR="0048591B" w:rsidRPr="00614E7C" w:rsidRDefault="0048591B" w:rsidP="00D17319">
            <w:pPr>
              <w:jc w:val="both"/>
              <w:rPr>
                <w:rFonts w:eastAsia="MS Mincho" w:cs="Calibri"/>
                <w:bCs/>
                <w:szCs w:val="22"/>
              </w:rPr>
            </w:pPr>
            <w:r w:rsidRPr="000F102A">
              <w:rPr>
                <w:rFonts w:eastAsia="MS Mincho" w:cs="Calibri"/>
                <w:bCs/>
                <w:szCs w:val="22"/>
              </w:rPr>
              <w:t>TEKAVČIČ VEBER, M.: Safeguarding fundamental values of the EU through the adoption of sanctions. University of Vienna law review, 2020, vol. 4, no. 1, str. 37-78.</w:t>
            </w:r>
          </w:p>
          <w:p w14:paraId="5A39FCAA" w14:textId="6C11F2CE" w:rsidR="00257003" w:rsidRDefault="00257003">
            <w:r w:rsidRPr="00257003">
              <w:t>SANCIN, V., MEDIŽEVEC, A.: Pravo zunanjega delovanja Evropske unije, Založba Univerze v Ljubljani, Ljubljana 2025.</w:t>
            </w:r>
          </w:p>
          <w:p w14:paraId="14ABFB44" w14:textId="2F5B3CD8" w:rsidR="00D52365" w:rsidRDefault="00325153">
            <w:r>
              <w:t>SANCIN, V.: Mednarodno pravo v hierarhiji pravnih virov EU in njenih članic, Uradni list Republike Slovenije, Ljubljana, 2009.</w:t>
            </w:r>
          </w:p>
          <w:p w14:paraId="24D315F4" w14:textId="77777777" w:rsidR="00D52365" w:rsidRDefault="00325153">
            <w:r>
              <w:t>CANNIZZARO, E. (ur.): The European Union as an Actor in International Relations, Kluwer Law International, 2002.</w:t>
            </w:r>
          </w:p>
          <w:p w14:paraId="50FDF899" w14:textId="77777777" w:rsidR="00D52365" w:rsidRDefault="00325153">
            <w:r>
              <w:t>WOUTERS, J., NOLLKAEMPER, A., DE WET, E. (ur.): The Europeanisation of International Law : The Status of International Law in the EU and Its Member States, T.M.C. Asser Press, 2008.</w:t>
            </w:r>
          </w:p>
          <w:p w14:paraId="3A36DFF2" w14:textId="2D9D0F08" w:rsidR="0048591B" w:rsidRDefault="0048591B" w:rsidP="0048591B">
            <w:r>
              <w:t>WOUTERS, J., HOFFMEISTER, F., DE BAERE, G., RAMPOLOULOS, T., The Law of EU External Relations: Cases, Materials and Commentary on the EU as an International Legal Actor, Oxford University Press, 2021.</w:t>
            </w:r>
          </w:p>
          <w:p w14:paraId="663A2300" w14:textId="77777777" w:rsidR="00D52365" w:rsidRDefault="00325153">
            <w:r>
              <w:t>.</w:t>
            </w:r>
          </w:p>
          <w:p w14:paraId="5F5D99E7" w14:textId="77777777" w:rsidR="00D52365" w:rsidRDefault="00325153">
            <w:r>
              <w:lastRenderedPageBreak/>
              <w:t>KOSTA, V., SKOUTARIS, N. in TZEVELEKOS, V. (ur.): The EU accession to the ECHR, Oxford, Portland, Hart, 2014.</w:t>
            </w:r>
          </w:p>
          <w:p w14:paraId="24E62A21" w14:textId="77777777" w:rsidR="00D52365" w:rsidRDefault="00325153">
            <w:r>
              <w:t>Mnenje sodišča EU 2/13 z dne 18. decembra 2014, Pristop Evropske unije k Evropski konvenciji o varstvu človekovih pravic in temeljnih svoboščin.</w:t>
            </w:r>
          </w:p>
          <w:p w14:paraId="2CEB0D74" w14:textId="77777777" w:rsidR="00D52365" w:rsidRDefault="00325153">
            <w:r>
              <w:t>Martines, F.: Direct Effect of International Agreements of the European Union, Jean Monnet Working Paper 05/14, 2014.</w:t>
            </w:r>
          </w:p>
          <w:p w14:paraId="506FF055" w14:textId="77777777" w:rsidR="00D52365" w:rsidRDefault="00325153">
            <w:r>
              <w:t>Nollkaemper, A.: The Duality of Direct Effect of International Law, Jean Monnet Working Paper 06/14, 2014.</w:t>
            </w:r>
          </w:p>
          <w:p w14:paraId="7163DADF" w14:textId="77777777" w:rsidR="00D52365" w:rsidRDefault="00325153">
            <w:r>
              <w:t>Ruiz Fabri, H.: Is There a Case – Legally and Politically – For Direct Effect of WTO Obligations?, Jean Monnet Working Paper 09/14, 2014.</w:t>
            </w:r>
          </w:p>
          <w:p w14:paraId="1ED08FBB" w14:textId="77777777" w:rsidR="00663C7D" w:rsidRDefault="00663C7D">
            <w:pPr>
              <w:rPr>
                <w:rFonts w:eastAsia="Times New Roman" w:cs="Calibri"/>
                <w:iCs/>
                <w:szCs w:val="22"/>
              </w:rPr>
            </w:pPr>
            <w:r w:rsidRPr="006C1F41">
              <w:rPr>
                <w:rFonts w:eastAsia="Times New Roman" w:cs="Calibri"/>
                <w:iCs/>
                <w:szCs w:val="22"/>
              </w:rPr>
              <w:t>KOVIČ DINE, Maša. Načelo medgeneracijskega sodelovanja v pravnem redu Evropske unije</w:t>
            </w:r>
            <w:r w:rsidRPr="006E44B6">
              <w:rPr>
                <w:rFonts w:eastAsia="Times New Roman" w:cs="Calibri"/>
                <w:iCs/>
                <w:szCs w:val="22"/>
              </w:rPr>
              <w:t>. v</w:t>
            </w:r>
            <w:r w:rsidRPr="006C1F41">
              <w:rPr>
                <w:rFonts w:eastAsia="Times New Roman" w:cs="Calibri"/>
                <w:iCs/>
                <w:szCs w:val="22"/>
              </w:rPr>
              <w:t>: DUGAR, Gregor (ur.). Vloga institucij EU in države pri zagotavljanju pravnega in ekonomskega varstva starejših. Ljubljana: Pravna fakulteta, Založba Pravne fakultete, 2022.</w:t>
            </w:r>
          </w:p>
          <w:p w14:paraId="4226B002" w14:textId="77777777" w:rsidR="00663C7D" w:rsidRDefault="00663C7D">
            <w:pPr>
              <w:rPr>
                <w:rFonts w:ascii="Open Sans" w:hAnsi="Open Sans" w:cs="Open Sans"/>
                <w:color w:val="111111"/>
                <w:spacing w:val="-4"/>
                <w:sz w:val="25"/>
                <w:szCs w:val="25"/>
                <w:shd w:val="clear" w:color="auto" w:fill="FFFFFF"/>
              </w:rPr>
            </w:pPr>
            <w:r w:rsidRPr="006E44B6">
              <w:rPr>
                <w:rFonts w:eastAsia="Times New Roman" w:cs="Calibri"/>
                <w:iCs/>
                <w:szCs w:val="22"/>
              </w:rPr>
              <w:t>SANCIN, V., 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Strukturna diskriminacija v mednarodnem </w:t>
            </w:r>
            <w:r w:rsidRPr="006E44B6">
              <w:rPr>
                <w:rFonts w:eastAsia="Times New Roman" w:cs="Calibri"/>
                <w:iCs/>
                <w:szCs w:val="22"/>
              </w:rPr>
              <w:t>pravu in pravu Evropske unije. v</w:t>
            </w:r>
            <w:r w:rsidRPr="006C1F41">
              <w:rPr>
                <w:rFonts w:eastAsia="Times New Roman" w:cs="Calibri"/>
                <w:iCs/>
                <w:szCs w:val="22"/>
              </w:rPr>
              <w:t>: ŠUMI, Irena (ur.), UREK, Mojca (ur.). Od dehumanizacije do diskriminacije : vztrajne socialne problematike v Sloveniji. V Ljubljani: Založba Univerze, 2024.</w:t>
            </w:r>
            <w:r>
              <w:rPr>
                <w:rFonts w:ascii="Open Sans" w:hAnsi="Open Sans" w:cs="Open Sans"/>
                <w:color w:val="111111"/>
                <w:spacing w:val="-4"/>
                <w:sz w:val="25"/>
                <w:szCs w:val="25"/>
                <w:shd w:val="clear" w:color="auto" w:fill="FFFFFF"/>
              </w:rPr>
              <w:t> </w:t>
            </w:r>
          </w:p>
          <w:p w14:paraId="613B039B" w14:textId="77777777" w:rsidR="00663C7D" w:rsidRDefault="00663C7D">
            <w:r>
              <w:rPr>
                <w:rFonts w:cs="Calibri"/>
                <w:iCs/>
                <w:szCs w:val="22"/>
              </w:rPr>
              <w:t>KOVIČ DINE</w:t>
            </w:r>
            <w:r w:rsidRPr="00562DF4">
              <w:rPr>
                <w:rFonts w:cs="Calibri"/>
                <w:iCs/>
                <w:szCs w:val="22"/>
              </w:rPr>
              <w:t xml:space="preserve">, </w:t>
            </w:r>
            <w:r>
              <w:rPr>
                <w:rFonts w:cs="Calibri"/>
                <w:iCs/>
                <w:szCs w:val="22"/>
              </w:rPr>
              <w:t>M.:</w:t>
            </w:r>
            <w:r w:rsidRPr="00562DF4">
              <w:rPr>
                <w:rFonts w:cs="Calibri"/>
                <w:iCs/>
                <w:szCs w:val="22"/>
              </w:rPr>
              <w:t xml:space="preserve"> Podnebne tožbe v mednarodnem okolju. V: 46. Dnevi slovenskih pravnikov, Podjetje</w:t>
            </w:r>
            <w:r>
              <w:rPr>
                <w:rFonts w:cs="Calibri"/>
                <w:iCs/>
                <w:szCs w:val="22"/>
              </w:rPr>
              <w:t xml:space="preserve"> in delo, letn. 46, št. 6/7 (2020).</w:t>
            </w:r>
          </w:p>
          <w:p w14:paraId="30064B12" w14:textId="77777777" w:rsidR="00D52365" w:rsidRDefault="00325153">
            <w:r>
              <w:t>Nabor literature se vsako leto dopolni z aktualnimi deli s področja problemov, ki se obravnavajo.</w:t>
            </w:r>
            <w:r>
              <w:rPr>
                <w:b/>
              </w:rPr>
              <w:t xml:space="preserve"> </w:t>
            </w:r>
          </w:p>
        </w:tc>
      </w:tr>
    </w:tbl>
    <w:p w14:paraId="090DB123" w14:textId="77777777" w:rsidR="00D52365" w:rsidRDefault="00D52365"/>
    <w:tbl>
      <w:tblPr>
        <w:tblStyle w:val="DefaultTable"/>
        <w:tblW w:w="5000" w:type="pct"/>
        <w:tblLook w:val="04A0" w:firstRow="1" w:lastRow="0" w:firstColumn="1" w:lastColumn="0" w:noHBand="0" w:noVBand="1"/>
      </w:tblPr>
      <w:tblGrid>
        <w:gridCol w:w="4910"/>
        <w:gridCol w:w="4728"/>
      </w:tblGrid>
      <w:tr w:rsidR="00D52365" w14:paraId="3D078F38" w14:textId="77777777" w:rsidTr="00D17319">
        <w:trPr>
          <w:cnfStyle w:val="100000000000" w:firstRow="1" w:lastRow="0" w:firstColumn="0" w:lastColumn="0" w:oddVBand="0" w:evenVBand="0" w:oddHBand="0" w:evenHBand="0" w:firstRowFirstColumn="0" w:firstRowLastColumn="0" w:lastRowFirstColumn="0" w:lastRowLastColumn="0"/>
        </w:trPr>
        <w:tc>
          <w:tcPr>
            <w:tcW w:w="0" w:type="pct"/>
          </w:tcPr>
          <w:p w14:paraId="6D5139CB" w14:textId="77777777" w:rsidR="00D52365" w:rsidRDefault="00325153">
            <w:r>
              <w:t>Cilji in kompetence:</w:t>
            </w:r>
          </w:p>
        </w:tc>
        <w:tc>
          <w:tcPr>
            <w:tcW w:w="0" w:type="pct"/>
          </w:tcPr>
          <w:p w14:paraId="602315C8" w14:textId="77777777" w:rsidR="00D52365" w:rsidRDefault="00325153">
            <w:r>
              <w:t>Objectives and competences:</w:t>
            </w:r>
          </w:p>
        </w:tc>
      </w:tr>
      <w:tr w:rsidR="00D52365" w14:paraId="4386A01B" w14:textId="77777777" w:rsidTr="00D17319">
        <w:tc>
          <w:tcPr>
            <w:tcW w:w="0" w:type="auto"/>
          </w:tcPr>
          <w:p w14:paraId="660E30F5" w14:textId="77777777" w:rsidR="00D52365" w:rsidRDefault="00325153">
            <w:r>
              <w:t>Cilj predmeta je poglobljen študij primerov prepletanja mednarodnega prava in prava EU, vključno s kompleksno problematiko pristojnosti držav in ES/EU ter sklepanja mednarodnih pogodb v EU. Posamezni problemi se obravnavajo multidisciplinarno.</w:t>
            </w:r>
          </w:p>
        </w:tc>
        <w:tc>
          <w:tcPr>
            <w:tcW w:w="0" w:type="auto"/>
          </w:tcPr>
          <w:p w14:paraId="49790A22" w14:textId="77777777" w:rsidR="00D52365" w:rsidRDefault="00325153">
            <w:r>
              <w:t>The objective of the course is a detailed study of examples of interconnection of international law and EU law, including the complex problematic of the competence of Member States in EU and adoption of treaties in EU. Individual issues will be discussed in a multidisciplinary manner.</w:t>
            </w:r>
          </w:p>
        </w:tc>
      </w:tr>
    </w:tbl>
    <w:p w14:paraId="1EB8F8EA" w14:textId="77777777" w:rsidR="00D52365" w:rsidRDefault="00D52365"/>
    <w:tbl>
      <w:tblPr>
        <w:tblStyle w:val="DefaultTable"/>
        <w:tblW w:w="5000" w:type="pct"/>
        <w:tblLook w:val="04A0" w:firstRow="1" w:lastRow="0" w:firstColumn="1" w:lastColumn="0" w:noHBand="0" w:noVBand="1"/>
      </w:tblPr>
      <w:tblGrid>
        <w:gridCol w:w="4792"/>
        <w:gridCol w:w="4846"/>
      </w:tblGrid>
      <w:tr w:rsidR="00D52365" w14:paraId="3B58C55F" w14:textId="77777777" w:rsidTr="00D17319">
        <w:trPr>
          <w:cnfStyle w:val="100000000000" w:firstRow="1" w:lastRow="0" w:firstColumn="0" w:lastColumn="0" w:oddVBand="0" w:evenVBand="0" w:oddHBand="0" w:evenHBand="0" w:firstRowFirstColumn="0" w:firstRowLastColumn="0" w:lastRowFirstColumn="0" w:lastRowLastColumn="0"/>
        </w:trPr>
        <w:tc>
          <w:tcPr>
            <w:tcW w:w="0" w:type="pct"/>
          </w:tcPr>
          <w:p w14:paraId="3931D8F6" w14:textId="77777777" w:rsidR="00D52365" w:rsidRDefault="00325153">
            <w:r>
              <w:t>Predvideni študijski rezultati:</w:t>
            </w:r>
          </w:p>
        </w:tc>
        <w:tc>
          <w:tcPr>
            <w:tcW w:w="0" w:type="pct"/>
          </w:tcPr>
          <w:p w14:paraId="485D38CC" w14:textId="77777777" w:rsidR="00D52365" w:rsidRDefault="00325153">
            <w:r>
              <w:t>Intended learning outcomes:</w:t>
            </w:r>
          </w:p>
        </w:tc>
      </w:tr>
      <w:tr w:rsidR="00D52365" w14:paraId="4030C831" w14:textId="77777777" w:rsidTr="00D17319">
        <w:tc>
          <w:tcPr>
            <w:tcW w:w="0" w:type="auto"/>
          </w:tcPr>
          <w:p w14:paraId="5798B07E" w14:textId="77777777" w:rsidR="00D52365" w:rsidRDefault="00325153">
            <w:r>
              <w:t>Znanje in razumevanje:</w:t>
            </w:r>
          </w:p>
          <w:p w14:paraId="17B7A998" w14:textId="77777777" w:rsidR="00D52365" w:rsidRDefault="00325153">
            <w:r>
              <w:t>Študent pridobi sposobnost znanstvene analize problemov, vrednotenja različnih teoretičnih stališč, uporabo primerjalno pravne metode, kritične analize sodne prakse in pisnega oblikovanja zahtevnejše argumentacije.</w:t>
            </w:r>
          </w:p>
        </w:tc>
        <w:tc>
          <w:tcPr>
            <w:tcW w:w="0" w:type="auto"/>
          </w:tcPr>
          <w:p w14:paraId="7BF1DB32" w14:textId="77777777" w:rsidR="00D52365" w:rsidRDefault="00325153">
            <w:r>
              <w:t>Knowledge and understanding:</w:t>
            </w:r>
          </w:p>
          <w:p w14:paraId="08730919" w14:textId="77777777" w:rsidR="00D52365" w:rsidRDefault="00325153">
            <w:r>
              <w:t>The student will gain skills of scientific analysis of problems, valuation of different theoretical views of international law and international relations, use of comparative legal method, critical analysis of case law and drafting of complex legal argumentation.</w:t>
            </w:r>
          </w:p>
        </w:tc>
      </w:tr>
    </w:tbl>
    <w:p w14:paraId="2A7CDDEA" w14:textId="77777777" w:rsidR="00D52365" w:rsidRDefault="00D52365"/>
    <w:tbl>
      <w:tblPr>
        <w:tblStyle w:val="DefaultTable"/>
        <w:tblW w:w="5000" w:type="pct"/>
        <w:tblLook w:val="04A0" w:firstRow="1" w:lastRow="0" w:firstColumn="1" w:lastColumn="0" w:noHBand="0" w:noVBand="1"/>
      </w:tblPr>
      <w:tblGrid>
        <w:gridCol w:w="4792"/>
        <w:gridCol w:w="4846"/>
      </w:tblGrid>
      <w:tr w:rsidR="00D52365" w14:paraId="02CF775D" w14:textId="77777777" w:rsidTr="00D17319">
        <w:trPr>
          <w:cnfStyle w:val="100000000000" w:firstRow="1" w:lastRow="0" w:firstColumn="0" w:lastColumn="0" w:oddVBand="0" w:evenVBand="0" w:oddHBand="0" w:evenHBand="0" w:firstRowFirstColumn="0" w:firstRowLastColumn="0" w:lastRowFirstColumn="0" w:lastRowLastColumn="0"/>
        </w:trPr>
        <w:tc>
          <w:tcPr>
            <w:tcW w:w="0" w:type="pct"/>
          </w:tcPr>
          <w:p w14:paraId="135A12E2" w14:textId="77777777" w:rsidR="00D52365" w:rsidRDefault="00325153">
            <w:r>
              <w:t>Metode poučevanja in učenja:</w:t>
            </w:r>
          </w:p>
        </w:tc>
        <w:tc>
          <w:tcPr>
            <w:tcW w:w="0" w:type="pct"/>
          </w:tcPr>
          <w:p w14:paraId="01931669" w14:textId="77777777" w:rsidR="00D52365" w:rsidRDefault="00325153">
            <w:r>
              <w:t>Learning and teaching methods:</w:t>
            </w:r>
          </w:p>
        </w:tc>
      </w:tr>
      <w:tr w:rsidR="00D52365" w14:paraId="25BE3979" w14:textId="77777777" w:rsidTr="00D17319">
        <w:tc>
          <w:tcPr>
            <w:tcW w:w="0" w:type="auto"/>
          </w:tcPr>
          <w:p w14:paraId="6C22ED9F" w14:textId="77777777" w:rsidR="00D52365" w:rsidRDefault="00325153">
            <w:r>
              <w:t>Predavanja – predavajo se izbrane teme, ki se določijo posebej glede na formalni pravni razvoj ter razvoj teorije in prakse.</w:t>
            </w:r>
          </w:p>
          <w:p w14:paraId="1302D301" w14:textId="77777777" w:rsidR="00D52365" w:rsidRDefault="00325153">
            <w:r>
              <w:t>Seminarske vaje – na seminarskih vajah študentje predstavijo vsebino seminarske naloge.</w:t>
            </w:r>
          </w:p>
          <w:p w14:paraId="6E65773F" w14:textId="77777777" w:rsidR="00D52365" w:rsidRDefault="00325153">
            <w:r>
              <w:t>Drugo – izdelava seminarske naloge, ki obravnava zahtevnejši pravni problem z navedenih področij.</w:t>
            </w:r>
          </w:p>
          <w:p w14:paraId="459C9A55" w14:textId="77777777" w:rsidR="00D52365" w:rsidRDefault="00325153">
            <w:r>
              <w:t>Individualni študij za izpit.</w:t>
            </w:r>
          </w:p>
        </w:tc>
        <w:tc>
          <w:tcPr>
            <w:tcW w:w="0" w:type="auto"/>
          </w:tcPr>
          <w:p w14:paraId="23D97EAE" w14:textId="77777777" w:rsidR="00D52365" w:rsidRDefault="00325153">
            <w:r>
              <w:t>Lectures – specific topics, selected according to the development of the fundamental sources of international law and development of legal theory and practice will be discussed.</w:t>
            </w:r>
          </w:p>
          <w:p w14:paraId="69DD9DD8" w14:textId="77777777" w:rsidR="00D52365" w:rsidRDefault="00325153">
            <w:r>
              <w:t>Seminar - students present the topic of their seminar research paper.</w:t>
            </w:r>
          </w:p>
          <w:p w14:paraId="75FD4FFE" w14:textId="77777777" w:rsidR="00D52365" w:rsidRDefault="00325153">
            <w:r>
              <w:t>Other - preparation of a seminar research paper, which addresses a more advanced legal problem within the relevant disciplines.</w:t>
            </w:r>
          </w:p>
          <w:p w14:paraId="11F2AC07" w14:textId="77777777" w:rsidR="00D52365" w:rsidRDefault="00325153">
            <w:r>
              <w:t>Individual study for the exam.</w:t>
            </w:r>
          </w:p>
        </w:tc>
      </w:tr>
    </w:tbl>
    <w:p w14:paraId="0DAFA1E4" w14:textId="77777777" w:rsidR="00D52365" w:rsidRDefault="00D52365"/>
    <w:tbl>
      <w:tblPr>
        <w:tblStyle w:val="DefaultTable"/>
        <w:tblW w:w="5000" w:type="pct"/>
        <w:tblLook w:val="04A0" w:firstRow="1" w:lastRow="0" w:firstColumn="1" w:lastColumn="0" w:noHBand="0" w:noVBand="1"/>
      </w:tblPr>
      <w:tblGrid>
        <w:gridCol w:w="3161"/>
        <w:gridCol w:w="3298"/>
        <w:gridCol w:w="3179"/>
      </w:tblGrid>
      <w:tr w:rsidR="00D52365" w14:paraId="755E4EE3" w14:textId="77777777" w:rsidTr="00D17319">
        <w:trPr>
          <w:cnfStyle w:val="100000000000" w:firstRow="1" w:lastRow="0" w:firstColumn="0" w:lastColumn="0" w:oddVBand="0" w:evenVBand="0" w:oddHBand="0" w:evenHBand="0" w:firstRowFirstColumn="0" w:firstRowLastColumn="0" w:lastRowFirstColumn="0" w:lastRowLastColumn="0"/>
        </w:trPr>
        <w:tc>
          <w:tcPr>
            <w:tcW w:w="0" w:type="pct"/>
          </w:tcPr>
          <w:p w14:paraId="25E24D85" w14:textId="77777777" w:rsidR="00D52365" w:rsidRDefault="00325153">
            <w:r>
              <w:t>Načini ocenjevanja:</w:t>
            </w:r>
          </w:p>
        </w:tc>
        <w:tc>
          <w:tcPr>
            <w:tcW w:w="0" w:type="pct"/>
          </w:tcPr>
          <w:p w14:paraId="75C4A8CD" w14:textId="77777777" w:rsidR="00D52365" w:rsidRDefault="00325153">
            <w:pPr>
              <w:keepNext/>
              <w:jc w:val="center"/>
            </w:pPr>
            <w:r>
              <w:t>Delež/Weight</w:t>
            </w:r>
          </w:p>
        </w:tc>
        <w:tc>
          <w:tcPr>
            <w:tcW w:w="0" w:type="pct"/>
          </w:tcPr>
          <w:p w14:paraId="148CB73D" w14:textId="77777777" w:rsidR="00D52365" w:rsidRDefault="00325153">
            <w:r>
              <w:t>Assessment:</w:t>
            </w:r>
          </w:p>
        </w:tc>
      </w:tr>
      <w:tr w:rsidR="00D52365" w14:paraId="080B4A53" w14:textId="77777777" w:rsidTr="00D17319">
        <w:tc>
          <w:tcPr>
            <w:tcW w:w="0" w:type="auto"/>
          </w:tcPr>
          <w:p w14:paraId="3E054F5A" w14:textId="77777777" w:rsidR="00D52365" w:rsidRDefault="00325153">
            <w:r>
              <w:t>Ustni izpit. Za pristop k izpitu se zahteva uspešno izdelana in predstavljena seminarska naloga. Predstavitev se lahko opravi na seminarskih vajah ali pred učiteljem ocenjevalcem.</w:t>
            </w:r>
          </w:p>
        </w:tc>
        <w:tc>
          <w:tcPr>
            <w:tcW w:w="0" w:type="auto"/>
          </w:tcPr>
          <w:p w14:paraId="6CC21752" w14:textId="77777777" w:rsidR="00D52365" w:rsidRDefault="00325153">
            <w:pPr>
              <w:keepNext/>
              <w:jc w:val="center"/>
            </w:pPr>
            <w:r>
              <w:t>100,00 %</w:t>
            </w:r>
          </w:p>
        </w:tc>
        <w:tc>
          <w:tcPr>
            <w:tcW w:w="0" w:type="auto"/>
          </w:tcPr>
          <w:p w14:paraId="6D0586A5" w14:textId="77777777" w:rsidR="00D52365" w:rsidRDefault="00325153">
            <w:r>
              <w:t xml:space="preserve">Oral examination. Successful preparation and presentation of the seminar research paper is the predisposition for partaking in the exam. The seminar research paper </w:t>
            </w:r>
            <w:r>
              <w:lastRenderedPageBreak/>
              <w:t>may be presented in the seminar or before a teacher examiner.</w:t>
            </w:r>
          </w:p>
        </w:tc>
      </w:tr>
    </w:tbl>
    <w:p w14:paraId="342F18A9" w14:textId="77777777" w:rsidR="00D52365" w:rsidRDefault="00D52365"/>
    <w:tbl>
      <w:tblPr>
        <w:tblStyle w:val="DefaultTable"/>
        <w:tblW w:w="5000" w:type="pct"/>
        <w:tblLook w:val="04A0" w:firstRow="1" w:lastRow="0" w:firstColumn="1" w:lastColumn="0" w:noHBand="0" w:noVBand="1"/>
      </w:tblPr>
      <w:tblGrid>
        <w:gridCol w:w="4919"/>
        <w:gridCol w:w="4719"/>
      </w:tblGrid>
      <w:tr w:rsidR="00D52365" w14:paraId="0CE8B340" w14:textId="77777777" w:rsidTr="00D17319">
        <w:trPr>
          <w:cnfStyle w:val="100000000000" w:firstRow="1" w:lastRow="0" w:firstColumn="0" w:lastColumn="0" w:oddVBand="0" w:evenVBand="0" w:oddHBand="0" w:evenHBand="0" w:firstRowFirstColumn="0" w:firstRowLastColumn="0" w:lastRowFirstColumn="0" w:lastRowLastColumn="0"/>
        </w:trPr>
        <w:tc>
          <w:tcPr>
            <w:tcW w:w="0" w:type="pct"/>
          </w:tcPr>
          <w:p w14:paraId="0DD1E251" w14:textId="77777777" w:rsidR="00D52365" w:rsidRDefault="00325153">
            <w:r>
              <w:t>Ocenjevalna lestvica:</w:t>
            </w:r>
          </w:p>
        </w:tc>
        <w:tc>
          <w:tcPr>
            <w:tcW w:w="0" w:type="pct"/>
          </w:tcPr>
          <w:p w14:paraId="47E3E583" w14:textId="77777777" w:rsidR="00D52365" w:rsidRDefault="00325153">
            <w:r>
              <w:t>Grading system:</w:t>
            </w:r>
          </w:p>
        </w:tc>
      </w:tr>
      <w:tr w:rsidR="00D52365" w14:paraId="3795E515" w14:textId="77777777">
        <w:tc>
          <w:tcPr>
            <w:tcW w:w="0" w:type="auto"/>
          </w:tcPr>
          <w:p w14:paraId="56315DDD" w14:textId="77777777" w:rsidR="0048591B" w:rsidRDefault="0048591B" w:rsidP="0048591B">
            <w:pPr>
              <w:pStyle w:val="NormalWeb"/>
              <w:rPr>
                <w:szCs w:val="22"/>
              </w:rPr>
            </w:pPr>
            <w:r w:rsidRPr="00E22B27">
              <w:rPr>
                <w:rFonts w:ascii="Garamond" w:hAnsi="Garamond"/>
                <w:sz w:val="22"/>
                <w:szCs w:val="22"/>
              </w:rPr>
              <w:t xml:space="preserve">Izpit se oceni z ocenjevalno lestvico od 5 do 10: od 6 do 10 (pozitivno) oziroma 5 (negativno); ob upoštevanju Statuta UL in pravil Pravne fakultete. </w:t>
            </w:r>
          </w:p>
          <w:p w14:paraId="3EEAC94B" w14:textId="77777777" w:rsidR="00D52365" w:rsidRDefault="00D52365" w:rsidP="00D17319">
            <w:pPr>
              <w:tabs>
                <w:tab w:val="left" w:pos="1150"/>
                <w:tab w:val="left" w:pos="2930"/>
              </w:tabs>
            </w:pPr>
          </w:p>
        </w:tc>
        <w:tc>
          <w:tcPr>
            <w:tcW w:w="0" w:type="auto"/>
          </w:tcPr>
          <w:p w14:paraId="50390C33" w14:textId="77777777" w:rsidR="00D52365" w:rsidRDefault="0048591B">
            <w:r w:rsidRPr="00E22B27">
              <w:rPr>
                <w:szCs w:val="22"/>
              </w:rPr>
              <w:t>The exam is graded on the grading scale 5-10: 6-10 (passing grades) and 5 (fail), in accordance with the Statute of the University of Ljubljana and the Rules of the Faculty of Law.</w:t>
            </w:r>
          </w:p>
        </w:tc>
      </w:tr>
    </w:tbl>
    <w:p w14:paraId="0C822755" w14:textId="77777777" w:rsidR="00D52365" w:rsidRDefault="00D52365"/>
    <w:tbl>
      <w:tblPr>
        <w:tblStyle w:val="DefaultTable"/>
        <w:tblW w:w="5000" w:type="pct"/>
        <w:tblLook w:val="04A0" w:firstRow="1" w:lastRow="0" w:firstColumn="1" w:lastColumn="0" w:noHBand="0" w:noVBand="1"/>
      </w:tblPr>
      <w:tblGrid>
        <w:gridCol w:w="9638"/>
      </w:tblGrid>
      <w:tr w:rsidR="00D52365" w14:paraId="39CEBC6F" w14:textId="77777777" w:rsidTr="00D17319">
        <w:trPr>
          <w:cnfStyle w:val="100000000000" w:firstRow="1" w:lastRow="0" w:firstColumn="0" w:lastColumn="0" w:oddVBand="0" w:evenVBand="0" w:oddHBand="0" w:evenHBand="0" w:firstRowFirstColumn="0" w:firstRowLastColumn="0" w:lastRowFirstColumn="0" w:lastRowLastColumn="0"/>
        </w:trPr>
        <w:tc>
          <w:tcPr>
            <w:tcW w:w="0" w:type="auto"/>
          </w:tcPr>
          <w:p w14:paraId="782B8D0A" w14:textId="77777777" w:rsidR="00D52365" w:rsidRDefault="00325153">
            <w:r>
              <w:t>Reference nosilca/Lecturer's references:</w:t>
            </w:r>
          </w:p>
        </w:tc>
      </w:tr>
      <w:tr w:rsidR="00D52365" w14:paraId="6840D719" w14:textId="77777777">
        <w:tc>
          <w:tcPr>
            <w:tcW w:w="0" w:type="auto"/>
          </w:tcPr>
          <w:p w14:paraId="4B1FB548" w14:textId="452E2338" w:rsidR="00663C7D" w:rsidRDefault="00663C7D" w:rsidP="0048591B">
            <w:pPr>
              <w:autoSpaceDE w:val="0"/>
              <w:autoSpaceDN w:val="0"/>
              <w:adjustRightInd w:val="0"/>
              <w:jc w:val="both"/>
              <w:rPr>
                <w:rFonts w:cs="Calibri"/>
                <w:b/>
                <w:bCs/>
                <w:szCs w:val="22"/>
              </w:rPr>
            </w:pPr>
            <w:r>
              <w:rPr>
                <w:rFonts w:cs="Calibri"/>
                <w:b/>
                <w:bCs/>
                <w:szCs w:val="22"/>
              </w:rPr>
              <w:t>doc. dr. Maša Kovič Dine</w:t>
            </w:r>
          </w:p>
          <w:p w14:paraId="1A7A6586" w14:textId="77777777" w:rsidR="00663C7D" w:rsidRPr="00562DF4" w:rsidRDefault="00663C7D" w:rsidP="00663C7D">
            <w:pPr>
              <w:autoSpaceDE w:val="0"/>
              <w:autoSpaceDN w:val="0"/>
              <w:adjustRightInd w:val="0"/>
              <w:jc w:val="both"/>
              <w:rPr>
                <w:rFonts w:eastAsia="Times New Roman" w:cs="Calibri"/>
                <w:iCs/>
                <w:szCs w:val="22"/>
              </w:rPr>
            </w:pPr>
            <w:r w:rsidRPr="00562DF4">
              <w:rPr>
                <w:rFonts w:eastAsia="Times New Roman" w:cs="Calibri"/>
                <w:iCs/>
                <w:szCs w:val="22"/>
              </w:rPr>
              <w:t>[1] SANCIN, V., KOVIČ DINE, M.:</w:t>
            </w:r>
            <w:r>
              <w:rPr>
                <w:rFonts w:eastAsia="Times New Roman" w:cs="Calibri"/>
                <w:iCs/>
                <w:szCs w:val="22"/>
              </w:rPr>
              <w:t xml:space="preserve"> Slovenia. V: Roach, K.(ur.):</w:t>
            </w:r>
            <w:r w:rsidRPr="00562DF4">
              <w:rPr>
                <w:rFonts w:eastAsia="Times New Roman" w:cs="Calibri"/>
                <w:iCs/>
                <w:szCs w:val="22"/>
              </w:rPr>
              <w:t xml:space="preserve"> Comparative counter-terrorism law. New York: Cambridge University Press, 2015. </w:t>
            </w:r>
          </w:p>
          <w:p w14:paraId="64957B67" w14:textId="77777777" w:rsidR="00663C7D" w:rsidRDefault="00663C7D" w:rsidP="00663C7D">
            <w:pPr>
              <w:autoSpaceDE w:val="0"/>
              <w:autoSpaceDN w:val="0"/>
              <w:adjustRightInd w:val="0"/>
              <w:jc w:val="both"/>
              <w:rPr>
                <w:rFonts w:cs="Calibri"/>
                <w:iCs/>
                <w:szCs w:val="22"/>
              </w:rPr>
            </w:pPr>
            <w:r w:rsidRPr="00562DF4">
              <w:rPr>
                <w:rFonts w:eastAsia="Times New Roman" w:cs="Calibri"/>
                <w:iCs/>
                <w:szCs w:val="22"/>
              </w:rPr>
              <w:t>[</w:t>
            </w:r>
            <w:r>
              <w:rPr>
                <w:rFonts w:eastAsia="Times New Roman" w:cs="Calibri"/>
                <w:iCs/>
                <w:szCs w:val="22"/>
              </w:rPr>
              <w:t>2</w:t>
            </w:r>
            <w:r w:rsidRPr="00562DF4">
              <w:rPr>
                <w:rFonts w:eastAsia="Times New Roman" w:cs="Calibri"/>
                <w:iCs/>
                <w:szCs w:val="22"/>
              </w:rPr>
              <w:t xml:space="preserve">] </w:t>
            </w:r>
            <w:r>
              <w:rPr>
                <w:rFonts w:cs="Calibri"/>
                <w:iCs/>
                <w:szCs w:val="22"/>
              </w:rPr>
              <w:t>KOVIČ DINE</w:t>
            </w:r>
            <w:r w:rsidRPr="00562DF4">
              <w:rPr>
                <w:rFonts w:cs="Calibri"/>
                <w:iCs/>
                <w:szCs w:val="22"/>
              </w:rPr>
              <w:t xml:space="preserve">, </w:t>
            </w:r>
            <w:r>
              <w:rPr>
                <w:rFonts w:cs="Calibri"/>
                <w:iCs/>
                <w:szCs w:val="22"/>
              </w:rPr>
              <w:t>M.:</w:t>
            </w:r>
            <w:r w:rsidRPr="00562DF4">
              <w:rPr>
                <w:rFonts w:cs="Calibri"/>
                <w:iCs/>
                <w:szCs w:val="22"/>
              </w:rPr>
              <w:t xml:space="preserve"> Podnebne tožbe v mednarodnem okolju. V: 46. Dnevi slovenskih pravnikov, Podjetje</w:t>
            </w:r>
            <w:r>
              <w:rPr>
                <w:rFonts w:cs="Calibri"/>
                <w:iCs/>
                <w:szCs w:val="22"/>
              </w:rPr>
              <w:t xml:space="preserve"> in delo, letn. 46, št. 6/7 (2020).</w:t>
            </w:r>
          </w:p>
          <w:p w14:paraId="55AC0153" w14:textId="77777777" w:rsidR="00663C7D" w:rsidRDefault="00663C7D" w:rsidP="00663C7D">
            <w:pPr>
              <w:autoSpaceDE w:val="0"/>
              <w:autoSpaceDN w:val="0"/>
              <w:adjustRightInd w:val="0"/>
              <w:jc w:val="both"/>
              <w:rPr>
                <w:rFonts w:eastAsia="Times New Roman" w:cs="Calibri"/>
                <w:iCs/>
                <w:szCs w:val="22"/>
              </w:rPr>
            </w:pPr>
            <w:r>
              <w:rPr>
                <w:rFonts w:eastAsia="Times New Roman" w:cs="Calibri"/>
                <w:iCs/>
                <w:szCs w:val="22"/>
              </w:rPr>
              <w:t>[3</w:t>
            </w:r>
            <w:r w:rsidRPr="00562DF4">
              <w:rPr>
                <w:rFonts w:eastAsia="Times New Roman" w:cs="Calibri"/>
                <w:iCs/>
                <w:szCs w:val="22"/>
              </w:rPr>
              <w:t xml:space="preserve">] </w:t>
            </w:r>
            <w:r w:rsidRPr="000020C2">
              <w:rPr>
                <w:rFonts w:eastAsia="Times New Roman" w:cs="Calibri"/>
                <w:iCs/>
                <w:szCs w:val="22"/>
              </w:rPr>
              <w:t>SANCIN, V</w:t>
            </w:r>
            <w:r>
              <w:rPr>
                <w:rFonts w:eastAsia="Times New Roman" w:cs="Calibri"/>
                <w:iCs/>
                <w:szCs w:val="22"/>
              </w:rPr>
              <w:t>.</w:t>
            </w:r>
            <w:r w:rsidRPr="000020C2">
              <w:rPr>
                <w:rFonts w:eastAsia="Times New Roman" w:cs="Calibri"/>
                <w:iCs/>
                <w:szCs w:val="22"/>
              </w:rPr>
              <w:t>, KOVIČ DINE, M., TURŠIČ, D</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(Ne)primernost uporabe kriterija avtohtonosti za urejanje položaja Romov v Sloveniji. Razprave in gradivo : revija za narodnostna vprašanja</w:t>
            </w:r>
            <w:r w:rsidRPr="000020C2">
              <w:rPr>
                <w:rFonts w:eastAsia="Times New Roman" w:cs="Calibri"/>
                <w:iCs/>
                <w:szCs w:val="22"/>
              </w:rPr>
              <w:t>,</w:t>
            </w:r>
            <w:r w:rsidRPr="006C1F41">
              <w:rPr>
                <w:rFonts w:eastAsia="Times New Roman" w:cs="Calibri"/>
                <w:iCs/>
                <w:szCs w:val="22"/>
              </w:rPr>
              <w:t xml:space="preserve"> dec. 2021, no. 87</w:t>
            </w:r>
            <w:r w:rsidRPr="000020C2">
              <w:rPr>
                <w:rFonts w:eastAsia="Times New Roman" w:cs="Calibri"/>
                <w:iCs/>
                <w:szCs w:val="22"/>
              </w:rPr>
              <w:t>.</w:t>
            </w:r>
          </w:p>
          <w:p w14:paraId="42BB9E00" w14:textId="77777777" w:rsidR="00663C7D" w:rsidRDefault="00663C7D" w:rsidP="00663C7D">
            <w:pPr>
              <w:autoSpaceDE w:val="0"/>
              <w:autoSpaceDN w:val="0"/>
              <w:adjustRightInd w:val="0"/>
              <w:jc w:val="both"/>
              <w:rPr>
                <w:rFonts w:eastAsia="Times New Roman" w:cs="Calibri"/>
                <w:iCs/>
                <w:szCs w:val="22"/>
              </w:rPr>
            </w:pPr>
            <w:r w:rsidRPr="00562DF4">
              <w:rPr>
                <w:rFonts w:cs="Calibri"/>
                <w:iCs/>
                <w:szCs w:val="22"/>
              </w:rPr>
              <w:t>[</w:t>
            </w:r>
            <w:r>
              <w:rPr>
                <w:rFonts w:cs="Calibri"/>
                <w:iCs/>
                <w:szCs w:val="22"/>
              </w:rPr>
              <w:t>4</w:t>
            </w:r>
            <w:r w:rsidRPr="00562DF4">
              <w:rPr>
                <w:rFonts w:cs="Calibri"/>
                <w:iCs/>
                <w:szCs w:val="22"/>
              </w:rPr>
              <w:t xml:space="preserve">] </w:t>
            </w:r>
            <w:r w:rsidRPr="000020C2">
              <w:rPr>
                <w:rFonts w:eastAsia="Times New Roman" w:cs="Calibri"/>
                <w:iCs/>
                <w:szCs w:val="22"/>
              </w:rPr>
              <w:t>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Early warning mechanism under R2P. V: SANCIN, Vasilka (ur.). Responsibility to protect in theory and practice : papers presented at the Responsibility to Protect in Theory and Practice Conference Ljubljana, April 11 - 12, 2013. 1st run. Ljubljana: GV založba, 2013.</w:t>
            </w:r>
            <w:r>
              <w:rPr>
                <w:rFonts w:eastAsia="Times New Roman" w:cs="Calibri"/>
                <w:iCs/>
                <w:szCs w:val="22"/>
              </w:rPr>
              <w:t xml:space="preserve"> </w:t>
            </w:r>
          </w:p>
          <w:p w14:paraId="32A93F77" w14:textId="77777777" w:rsidR="00663C7D" w:rsidRDefault="00663C7D" w:rsidP="00663C7D">
            <w:pPr>
              <w:autoSpaceDE w:val="0"/>
              <w:autoSpaceDN w:val="0"/>
              <w:adjustRightInd w:val="0"/>
              <w:jc w:val="both"/>
              <w:rPr>
                <w:rFonts w:eastAsia="Times New Roman" w:cs="Calibri"/>
                <w:iCs/>
                <w:szCs w:val="22"/>
              </w:rPr>
            </w:pPr>
            <w:r>
              <w:rPr>
                <w:rFonts w:eastAsia="Times New Roman" w:cs="Calibri"/>
                <w:iCs/>
                <w:szCs w:val="22"/>
              </w:rPr>
              <w:t>[5</w:t>
            </w:r>
            <w:r w:rsidRPr="00562DF4">
              <w:rPr>
                <w:rFonts w:cs="Calibri"/>
                <w:iCs/>
                <w:szCs w:val="22"/>
              </w:rPr>
              <w:t>]</w:t>
            </w:r>
            <w:r>
              <w:rPr>
                <w:rFonts w:cs="Calibri"/>
                <w:iCs/>
                <w:szCs w:val="22"/>
              </w:rPr>
              <w:t xml:space="preserve"> </w:t>
            </w:r>
            <w:r>
              <w:rPr>
                <w:rFonts w:eastAsia="Times New Roman" w:cs="Calibri"/>
                <w:iCs/>
                <w:szCs w:val="22"/>
              </w:rPr>
              <w:t xml:space="preserve"> </w:t>
            </w:r>
            <w:r w:rsidRPr="006E44B6">
              <w:rPr>
                <w:rFonts w:eastAsia="Times New Roman" w:cs="Calibri"/>
                <w:iCs/>
                <w:szCs w:val="22"/>
              </w:rPr>
              <w:t>SANCIN, V., 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Strukturna diskriminacija v mednarodnem </w:t>
            </w:r>
            <w:r w:rsidRPr="006E44B6">
              <w:rPr>
                <w:rFonts w:eastAsia="Times New Roman" w:cs="Calibri"/>
                <w:iCs/>
                <w:szCs w:val="22"/>
              </w:rPr>
              <w:t>pravu in pravu Evropske unije. v</w:t>
            </w:r>
            <w:r w:rsidRPr="006C1F41">
              <w:rPr>
                <w:rFonts w:eastAsia="Times New Roman" w:cs="Calibri"/>
                <w:iCs/>
                <w:szCs w:val="22"/>
              </w:rPr>
              <w:t>: ŠUMI, Irena (ur.), UREK, Mojca (ur.). Od dehumanizacije do diskriminacije : vztrajne socialne problematike v Sloveniji. V Ljubljani: Založba Univerze, 2024.</w:t>
            </w:r>
            <w:r>
              <w:rPr>
                <w:rFonts w:ascii="Open Sans" w:hAnsi="Open Sans" w:cs="Open Sans"/>
                <w:color w:val="111111"/>
                <w:spacing w:val="-4"/>
                <w:sz w:val="25"/>
                <w:szCs w:val="25"/>
                <w:shd w:val="clear" w:color="auto" w:fill="FFFFFF"/>
              </w:rPr>
              <w:t> </w:t>
            </w:r>
          </w:p>
          <w:p w14:paraId="21F48D6D" w14:textId="77777777" w:rsidR="00663C7D" w:rsidRDefault="00663C7D" w:rsidP="00663C7D">
            <w:pPr>
              <w:autoSpaceDE w:val="0"/>
              <w:autoSpaceDN w:val="0"/>
              <w:adjustRightInd w:val="0"/>
              <w:jc w:val="both"/>
              <w:rPr>
                <w:rFonts w:eastAsia="Times New Roman" w:cs="Calibri"/>
                <w:iCs/>
                <w:szCs w:val="22"/>
              </w:rPr>
            </w:pPr>
            <w:r>
              <w:rPr>
                <w:rFonts w:eastAsia="Times New Roman" w:cs="Calibri"/>
                <w:iCs/>
                <w:szCs w:val="22"/>
              </w:rPr>
              <w:t>[6</w:t>
            </w:r>
            <w:r w:rsidRPr="00562DF4">
              <w:rPr>
                <w:rFonts w:cs="Calibri"/>
                <w:iCs/>
                <w:szCs w:val="22"/>
              </w:rPr>
              <w:t>]</w:t>
            </w:r>
            <w:r>
              <w:rPr>
                <w:rFonts w:cs="Calibri"/>
                <w:iCs/>
                <w:szCs w:val="22"/>
              </w:rPr>
              <w:t xml:space="preserve"> </w:t>
            </w:r>
            <w:r w:rsidRPr="006C1F41">
              <w:rPr>
                <w:rFonts w:eastAsia="Times New Roman" w:cs="Calibri"/>
                <w:iCs/>
                <w:szCs w:val="22"/>
              </w:rPr>
              <w:t>KOVIČ DINE, Maša. Načelo medgeneracijskega sodelovanja v pravnem redu Evropske unije</w:t>
            </w:r>
            <w:r w:rsidRPr="006E44B6">
              <w:rPr>
                <w:rFonts w:eastAsia="Times New Roman" w:cs="Calibri"/>
                <w:iCs/>
                <w:szCs w:val="22"/>
              </w:rPr>
              <w:t>. v</w:t>
            </w:r>
            <w:r w:rsidRPr="006C1F41">
              <w:rPr>
                <w:rFonts w:eastAsia="Times New Roman" w:cs="Calibri"/>
                <w:iCs/>
                <w:szCs w:val="22"/>
              </w:rPr>
              <w:t>: DUGAR, Gregor (ur.). Vloga institucij EU in države pri zagotavljanju pravnega in ekonomskega varstva starejših. Ljubljana: Pravna fakulteta, Založba Pravne fakultete, 2022.</w:t>
            </w:r>
            <w:r>
              <w:rPr>
                <w:rFonts w:eastAsia="Times New Roman" w:cs="Calibri"/>
                <w:iCs/>
                <w:szCs w:val="22"/>
              </w:rPr>
              <w:t xml:space="preserve"> </w:t>
            </w:r>
          </w:p>
          <w:p w14:paraId="3DE2563B" w14:textId="77777777" w:rsidR="00663C7D" w:rsidRDefault="00663C7D" w:rsidP="00614E7C">
            <w:pPr>
              <w:autoSpaceDE w:val="0"/>
              <w:autoSpaceDN w:val="0"/>
              <w:adjustRightInd w:val="0"/>
              <w:rPr>
                <w:rFonts w:eastAsia="Times New Roman" w:cs="Calibri"/>
                <w:iCs/>
                <w:szCs w:val="22"/>
              </w:rPr>
            </w:pPr>
            <w:r>
              <w:rPr>
                <w:rFonts w:eastAsia="Times New Roman" w:cs="Calibri"/>
                <w:iCs/>
                <w:szCs w:val="22"/>
              </w:rPr>
              <w:t>[7</w:t>
            </w:r>
            <w:r w:rsidRPr="00562DF4">
              <w:rPr>
                <w:rFonts w:cs="Calibri"/>
                <w:iCs/>
                <w:szCs w:val="22"/>
              </w:rPr>
              <w:t>]</w:t>
            </w:r>
            <w:r>
              <w:rPr>
                <w:rFonts w:cs="Calibri"/>
                <w:iCs/>
                <w:szCs w:val="22"/>
              </w:rPr>
              <w:t xml:space="preserve"> </w:t>
            </w:r>
            <w:r w:rsidRPr="006E44B6">
              <w:rPr>
                <w:rFonts w:eastAsia="Times New Roman" w:cs="Calibri"/>
                <w:iCs/>
                <w:szCs w:val="22"/>
              </w:rPr>
              <w:t xml:space="preserve">SANCIN, </w:t>
            </w:r>
            <w:r>
              <w:rPr>
                <w:rFonts w:eastAsia="Times New Roman" w:cs="Calibri"/>
                <w:iCs/>
                <w:szCs w:val="22"/>
              </w:rPr>
              <w:t>V</w:t>
            </w:r>
            <w:r w:rsidRPr="006E44B6">
              <w:rPr>
                <w:rFonts w:eastAsia="Times New Roman" w:cs="Calibri"/>
                <w:iCs/>
                <w:szCs w:val="22"/>
              </w:rPr>
              <w:t>., 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Emerging awareness of climate change liti</w:t>
            </w:r>
            <w:r w:rsidRPr="006E44B6">
              <w:rPr>
                <w:rFonts w:eastAsia="Times New Roman" w:cs="Calibri"/>
                <w:iCs/>
                <w:szCs w:val="22"/>
              </w:rPr>
              <w:t>gation in Slovenia. v</w:t>
            </w:r>
            <w:r w:rsidRPr="006C1F41">
              <w:rPr>
                <w:rFonts w:eastAsia="Times New Roman" w:cs="Calibri"/>
                <w:iCs/>
                <w:szCs w:val="22"/>
              </w:rPr>
              <w:t>: SINDICO, Francesco (ur.), MBENGUE, Makane Moïse (ur.). Comparative climate change litigation : beyond the usual suspects. Cham: Springer, cop. 2021.</w:t>
            </w:r>
          </w:p>
          <w:p w14:paraId="2F12E1C9" w14:textId="77777777" w:rsidR="00663C7D" w:rsidRDefault="00663C7D" w:rsidP="00663C7D">
            <w:pPr>
              <w:autoSpaceDE w:val="0"/>
              <w:autoSpaceDN w:val="0"/>
              <w:adjustRightInd w:val="0"/>
              <w:jc w:val="both"/>
              <w:rPr>
                <w:rFonts w:ascii="Open Sans" w:hAnsi="Open Sans" w:cs="Open Sans"/>
                <w:color w:val="111111"/>
                <w:spacing w:val="-4"/>
                <w:sz w:val="25"/>
                <w:szCs w:val="25"/>
                <w:shd w:val="clear" w:color="auto" w:fill="FFFFFF"/>
              </w:rPr>
            </w:pPr>
            <w:r>
              <w:rPr>
                <w:rFonts w:eastAsia="Times New Roman" w:cs="Calibri"/>
                <w:iCs/>
                <w:szCs w:val="22"/>
              </w:rPr>
              <w:t>[8</w:t>
            </w:r>
            <w:r w:rsidRPr="00562DF4">
              <w:rPr>
                <w:rFonts w:cs="Calibri"/>
                <w:iCs/>
                <w:szCs w:val="22"/>
              </w:rPr>
              <w:t>]</w:t>
            </w:r>
            <w:r>
              <w:rPr>
                <w:rFonts w:eastAsia="Times New Roman" w:cs="Calibri"/>
                <w:iCs/>
                <w:szCs w:val="22"/>
              </w:rPr>
              <w:t xml:space="preserve"> </w:t>
            </w:r>
            <w:r w:rsidRPr="00D511C2">
              <w:rPr>
                <w:rFonts w:eastAsia="MS Mincho" w:cs="Calibri"/>
                <w:bCs/>
                <w:szCs w:val="22"/>
              </w:rPr>
              <w:t xml:space="preserve">SANCIN, </w:t>
            </w:r>
            <w:r>
              <w:rPr>
                <w:rFonts w:eastAsia="MS Mincho" w:cs="Calibri"/>
                <w:bCs/>
                <w:szCs w:val="22"/>
              </w:rPr>
              <w:t>V.</w:t>
            </w:r>
            <w:r w:rsidRPr="00D511C2">
              <w:rPr>
                <w:rFonts w:eastAsia="MS Mincho" w:cs="Calibri"/>
                <w:bCs/>
                <w:szCs w:val="22"/>
              </w:rPr>
              <w:t>, KOVIČ DINE, M</w:t>
            </w:r>
            <w:r w:rsidRPr="00E173C4">
              <w:rPr>
                <w:rFonts w:eastAsia="MS Mincho" w:cs="Calibri"/>
                <w:bCs/>
                <w:szCs w:val="22"/>
              </w:rPr>
              <w:t>.</w:t>
            </w:r>
            <w:r>
              <w:rPr>
                <w:rFonts w:eastAsia="MS Mincho" w:cs="Calibri"/>
                <w:bCs/>
                <w:szCs w:val="22"/>
              </w:rPr>
              <w:t>:</w:t>
            </w:r>
            <w:r w:rsidRPr="00E173C4">
              <w:rPr>
                <w:rFonts w:eastAsia="MS Mincho" w:cs="Calibri"/>
                <w:bCs/>
                <w:szCs w:val="22"/>
              </w:rPr>
              <w:t> Praktikum za mednarodno javno pravo. Ljubljana: Litteralis, 2015. </w:t>
            </w:r>
          </w:p>
          <w:p w14:paraId="026CB962" w14:textId="77777777" w:rsidR="00663C7D" w:rsidRPr="00ED7491" w:rsidRDefault="00663C7D" w:rsidP="00663C7D">
            <w:pPr>
              <w:rPr>
                <w:rFonts w:eastAsia="Times New Roman" w:cs="Calibri"/>
                <w:iCs/>
                <w:szCs w:val="22"/>
              </w:rPr>
            </w:pPr>
            <w:r>
              <w:rPr>
                <w:rFonts w:eastAsia="Times New Roman" w:cs="Calibri"/>
                <w:iCs/>
                <w:szCs w:val="22"/>
              </w:rPr>
              <w:t>[9</w:t>
            </w:r>
            <w:r w:rsidRPr="006C1F41">
              <w:rPr>
                <w:rFonts w:eastAsia="Times New Roman" w:cs="Calibri"/>
                <w:iCs/>
                <w:szCs w:val="22"/>
              </w:rPr>
              <w:t>]</w:t>
            </w:r>
            <w:r>
              <w:rPr>
                <w:rFonts w:eastAsia="Times New Roman" w:cs="Calibri"/>
                <w:iCs/>
                <w:szCs w:val="22"/>
              </w:rPr>
              <w:t xml:space="preserve"> </w:t>
            </w:r>
            <w:r w:rsidRPr="00ED7491">
              <w:rPr>
                <w:rFonts w:eastAsia="Times New Roman" w:cs="Calibri"/>
                <w:iCs/>
                <w:szCs w:val="22"/>
              </w:rPr>
              <w:t>KOVIČ DINE, Maša. Speaking for the rights of nature. V: BREARS, Robert C. (ur.), LINDLEY, Jade (ur.). The Palgrave handbook of environmental policy and law. Cham: Palgrave Macmillan, cop. 2025.</w:t>
            </w:r>
          </w:p>
          <w:p w14:paraId="2010A485" w14:textId="77777777" w:rsidR="00663C7D" w:rsidRDefault="00663C7D" w:rsidP="00663C7D">
            <w:pPr>
              <w:autoSpaceDE w:val="0"/>
              <w:autoSpaceDN w:val="0"/>
              <w:adjustRightInd w:val="0"/>
              <w:rPr>
                <w:rFonts w:eastAsia="MS Mincho" w:cs="Calibri"/>
                <w:bCs/>
                <w:szCs w:val="22"/>
              </w:rPr>
            </w:pPr>
            <w:r w:rsidRPr="006C1F41">
              <w:rPr>
                <w:rFonts w:eastAsia="Times New Roman" w:cs="Calibri"/>
                <w:iCs/>
                <w:szCs w:val="22"/>
              </w:rPr>
              <w:t xml:space="preserve"> </w:t>
            </w:r>
          </w:p>
          <w:p w14:paraId="39843379" w14:textId="77777777" w:rsidR="00663C7D" w:rsidRDefault="00663C7D" w:rsidP="0048591B">
            <w:pPr>
              <w:autoSpaceDE w:val="0"/>
              <w:autoSpaceDN w:val="0"/>
              <w:adjustRightInd w:val="0"/>
              <w:jc w:val="both"/>
              <w:rPr>
                <w:rFonts w:cs="Calibri"/>
                <w:b/>
                <w:bCs/>
                <w:szCs w:val="22"/>
              </w:rPr>
            </w:pPr>
          </w:p>
          <w:p w14:paraId="1FB7796F" w14:textId="77777777" w:rsidR="0048591B" w:rsidRPr="00806D5F" w:rsidRDefault="0048591B" w:rsidP="0048591B">
            <w:pPr>
              <w:autoSpaceDE w:val="0"/>
              <w:autoSpaceDN w:val="0"/>
              <w:adjustRightInd w:val="0"/>
              <w:jc w:val="both"/>
              <w:rPr>
                <w:rFonts w:cs="Calibri"/>
                <w:b/>
                <w:bCs/>
                <w:szCs w:val="22"/>
              </w:rPr>
            </w:pPr>
            <w:r w:rsidRPr="00DD2079">
              <w:rPr>
                <w:rFonts w:cs="Calibri"/>
                <w:b/>
                <w:bCs/>
                <w:szCs w:val="22"/>
              </w:rPr>
              <w:t>doc. dr. Maruša Tekavčič Veber:</w:t>
            </w:r>
          </w:p>
          <w:p w14:paraId="5CBA4DF2" w14:textId="77777777" w:rsidR="0048591B" w:rsidRDefault="0048591B" w:rsidP="0048591B">
            <w:pPr>
              <w:jc w:val="both"/>
              <w:rPr>
                <w:rFonts w:eastAsia="MS Mincho" w:cs="Calibri"/>
                <w:bCs/>
                <w:szCs w:val="22"/>
              </w:rPr>
            </w:pPr>
          </w:p>
          <w:p w14:paraId="724D26B6" w14:textId="77777777" w:rsidR="0048591B" w:rsidRDefault="0048591B" w:rsidP="0048591B">
            <w:pPr>
              <w:jc w:val="both"/>
              <w:rPr>
                <w:rFonts w:eastAsia="MS Mincho" w:cs="Calibri"/>
                <w:bCs/>
                <w:szCs w:val="22"/>
              </w:rPr>
            </w:pPr>
            <w:r>
              <w:rPr>
                <w:rFonts w:eastAsia="MS Mincho" w:cs="Calibri"/>
                <w:bCs/>
                <w:szCs w:val="22"/>
              </w:rPr>
              <w:t>[1</w:t>
            </w:r>
            <w:r w:rsidRPr="000F102A">
              <w:rPr>
                <w:rFonts w:eastAsia="MS Mincho" w:cs="Calibri"/>
                <w:bCs/>
                <w:szCs w:val="22"/>
              </w:rPr>
              <w:t>] TEKAVČIČ VEBER, M.: Safeguarding fundamental values of the EU through the adoption of sanctions. University of Vienna law review, 2020, vol. 4, no. 1, str. 37-78.</w:t>
            </w:r>
          </w:p>
          <w:p w14:paraId="14D3003E" w14:textId="77777777" w:rsidR="0048591B" w:rsidRDefault="0048591B" w:rsidP="0048591B">
            <w:pPr>
              <w:jc w:val="both"/>
            </w:pPr>
            <w:bookmarkStart w:id="0" w:name="rec37"/>
            <w:bookmarkEnd w:id="0"/>
            <w:r>
              <w:t xml:space="preserve">[2] TEKAVČIČ VEBER, </w:t>
            </w:r>
            <w:r>
              <w:rPr>
                <w:rFonts w:eastAsia="MS Mincho" w:cs="Calibri"/>
                <w:bCs/>
                <w:szCs w:val="22"/>
              </w:rPr>
              <w:t>M.,</w:t>
            </w:r>
            <w:r>
              <w:t xml:space="preserve"> MEDIŽEVEC, A.: </w:t>
            </w:r>
            <w:r w:rsidRPr="00E22B27">
              <w:rPr>
                <w:iCs/>
              </w:rPr>
              <w:t>Moldova v Komstroy : LLC, Judgment, reference for a preliminary ruling, 2nd October 2021 (Case C-741/19, ECLI:EU:C:2021:655), OXIO 785</w:t>
            </w:r>
            <w:r>
              <w:t xml:space="preserve">. 2024. 1 spletni vir. Oxford international organizations. </w:t>
            </w:r>
            <w:hyperlink r:id="rId10" w:tgtFrame="_blank" w:history="1">
              <w:r>
                <w:rPr>
                  <w:rStyle w:val="Hyperlink"/>
                </w:rPr>
                <w:t>https://opil.ouplaw.com/display/10.1093/law-oxio/e785.013.1/law-oxio-e785?rskey=HfNqwJ&amp;result=1&amp;prd=OXIO</w:t>
              </w:r>
            </w:hyperlink>
            <w:r>
              <w:t>.</w:t>
            </w:r>
          </w:p>
          <w:p w14:paraId="7DBD0231" w14:textId="77777777" w:rsidR="0048591B" w:rsidRDefault="0048591B" w:rsidP="0048591B">
            <w:pPr>
              <w:jc w:val="both"/>
              <w:rPr>
                <w:rFonts w:eastAsia="MS Mincho" w:cs="Calibri"/>
                <w:bCs/>
                <w:szCs w:val="22"/>
              </w:rPr>
            </w:pPr>
            <w:r>
              <w:t xml:space="preserve">[3] TEKAVČIČ VEBER, </w:t>
            </w:r>
            <w:r>
              <w:rPr>
                <w:rFonts w:eastAsia="MS Mincho" w:cs="Calibri"/>
                <w:bCs/>
                <w:szCs w:val="22"/>
              </w:rPr>
              <w:t>M.,</w:t>
            </w:r>
            <w:r>
              <w:t xml:space="preserve"> MEDIŽEVEC, A.: </w:t>
            </w:r>
            <w:r w:rsidRPr="00E22B27">
              <w:rPr>
                <w:iCs/>
              </w:rPr>
              <w:t>R. (on the application of PJSC Rosneft Oil Company (formerly OJSC Rosneft Oil Company)) v Her Majesty’s Treasury and ors : judgment ereference for a preliminary ruling, 28th March 2017 (Case C-72/15, ECLI:EU:C:2017:236), OXIO 784</w:t>
            </w:r>
            <w:r>
              <w:t xml:space="preserve">. 2024. 1 spletni vir. Oxford international organizations. </w:t>
            </w:r>
            <w:hyperlink r:id="rId11" w:tgtFrame="_blank" w:history="1">
              <w:r>
                <w:rPr>
                  <w:rStyle w:val="Hyperlink"/>
                </w:rPr>
                <w:t>https://opil.ouplaw.com/display/10.1093/law-oxio/e784.013.1/law-oxio-e784?rskey=vfufUH&amp;result=2&amp;prd=OXIO</w:t>
              </w:r>
            </w:hyperlink>
            <w:r>
              <w:t>.</w:t>
            </w:r>
          </w:p>
          <w:p w14:paraId="570A106E" w14:textId="77777777" w:rsidR="0048591B" w:rsidRPr="000F102A" w:rsidRDefault="0048591B" w:rsidP="0048591B">
            <w:pPr>
              <w:jc w:val="both"/>
              <w:rPr>
                <w:rFonts w:eastAsia="MS Mincho" w:cs="Calibri"/>
                <w:bCs/>
                <w:szCs w:val="22"/>
              </w:rPr>
            </w:pPr>
            <w:r>
              <w:rPr>
                <w:rFonts w:eastAsia="MS Mincho" w:cs="Calibri"/>
                <w:bCs/>
                <w:szCs w:val="22"/>
              </w:rPr>
              <w:t>[4</w:t>
            </w:r>
            <w:r w:rsidRPr="000F102A">
              <w:rPr>
                <w:rFonts w:eastAsia="MS Mincho" w:cs="Calibri"/>
                <w:bCs/>
                <w:szCs w:val="22"/>
              </w:rPr>
              <w:t>] TEKAVČIČ VEBER, M.: International organizations and AI-supported humanitarian aid: navigating through the applicable (data protection) legal regimes. International and Comparative Law Review. 2024, vol. 24, iss. 2, str. 54-83.</w:t>
            </w:r>
          </w:p>
          <w:p w14:paraId="382524C0" w14:textId="77777777" w:rsidR="0048591B" w:rsidRPr="000F102A" w:rsidRDefault="0048591B" w:rsidP="0048591B">
            <w:pPr>
              <w:autoSpaceDE w:val="0"/>
              <w:autoSpaceDN w:val="0"/>
              <w:adjustRightInd w:val="0"/>
              <w:jc w:val="both"/>
              <w:rPr>
                <w:rFonts w:eastAsia="MS Mincho" w:cs="Calibri"/>
                <w:bCs/>
                <w:szCs w:val="22"/>
              </w:rPr>
            </w:pPr>
            <w:r w:rsidRPr="000F102A">
              <w:rPr>
                <w:rFonts w:eastAsia="MS Mincho" w:cs="Calibri"/>
                <w:bCs/>
                <w:szCs w:val="22"/>
              </w:rPr>
              <w:t>[</w:t>
            </w:r>
            <w:r>
              <w:rPr>
                <w:rFonts w:eastAsia="MS Mincho" w:cs="Calibri"/>
                <w:bCs/>
                <w:szCs w:val="22"/>
              </w:rPr>
              <w:t>5</w:t>
            </w:r>
            <w:r w:rsidRPr="000F102A">
              <w:rPr>
                <w:rFonts w:eastAsia="MS Mincho" w:cs="Calibri"/>
                <w:bCs/>
                <w:szCs w:val="22"/>
              </w:rPr>
              <w:t>] TEKAVČIČ VEBER, M.: Mednarodnopravni vidiki sprejema sankcij s strani Evropske unije proti tretjim državam. Pravnik : revija za pravno teorijo in prakso. 2016, letn. 71, št. 9/10, str. 717-742.</w:t>
            </w:r>
          </w:p>
          <w:p w14:paraId="03FFBCF6" w14:textId="77777777" w:rsidR="0048591B" w:rsidRPr="000F102A" w:rsidRDefault="0048591B" w:rsidP="0048591B">
            <w:pPr>
              <w:jc w:val="both"/>
              <w:rPr>
                <w:rFonts w:eastAsia="MS Mincho" w:cs="Calibri"/>
                <w:bCs/>
                <w:szCs w:val="22"/>
              </w:rPr>
            </w:pPr>
            <w:r>
              <w:rPr>
                <w:rFonts w:eastAsia="MS Mincho" w:cs="Calibri"/>
                <w:bCs/>
                <w:szCs w:val="22"/>
              </w:rPr>
              <w:t>[6</w:t>
            </w:r>
            <w:r w:rsidRPr="000F102A">
              <w:rPr>
                <w:rFonts w:eastAsia="MS Mincho" w:cs="Calibri"/>
                <w:bCs/>
                <w:szCs w:val="22"/>
              </w:rPr>
              <w:t>] TEKAVČIČ VEBER, M.: The protection of community interests through countermeasures adopted by international organizations. V: ZYBERI, G. (ur.). Protecting community interests through international law. Cambridge; Antwerp; Chicago: Intersentia,2021, str. 127-162.</w:t>
            </w:r>
          </w:p>
          <w:p w14:paraId="0500C95E" w14:textId="77777777" w:rsidR="0048591B" w:rsidRPr="000F102A" w:rsidRDefault="0048591B" w:rsidP="0048591B">
            <w:pPr>
              <w:autoSpaceDE w:val="0"/>
              <w:autoSpaceDN w:val="0"/>
              <w:adjustRightInd w:val="0"/>
              <w:jc w:val="both"/>
              <w:rPr>
                <w:rFonts w:eastAsia="MS Mincho" w:cs="Calibri"/>
                <w:bCs/>
                <w:szCs w:val="22"/>
              </w:rPr>
            </w:pPr>
            <w:r>
              <w:rPr>
                <w:rFonts w:eastAsia="MS Mincho" w:cs="Calibri"/>
                <w:bCs/>
                <w:szCs w:val="22"/>
              </w:rPr>
              <w:lastRenderedPageBreak/>
              <w:t>[7</w:t>
            </w:r>
            <w:r w:rsidRPr="000F102A">
              <w:rPr>
                <w:rFonts w:eastAsia="MS Mincho" w:cs="Calibri"/>
                <w:bCs/>
                <w:szCs w:val="22"/>
              </w:rPr>
              <w:t>] TEKAVČIČ VEBER, M.: The making of custom through sanctions of international organisations. V: DROUBI, S. (ur.), D'ASPREMONT, J. (ur.). International organisations, non-state actors, and the formation of customary international law. Manchester: Manchester University Press, 2020, str. 284-305.</w:t>
            </w:r>
          </w:p>
          <w:p w14:paraId="0A39BDC5" w14:textId="77777777" w:rsidR="0048591B" w:rsidRDefault="0048591B" w:rsidP="0048591B"/>
          <w:p w14:paraId="6431DEE5" w14:textId="77777777" w:rsidR="00D52365" w:rsidRDefault="00D52365"/>
        </w:tc>
      </w:tr>
    </w:tbl>
    <w:p w14:paraId="1A88C71B" w14:textId="77777777" w:rsidR="00325153" w:rsidRDefault="00325153"/>
    <w:sectPr w:rsidR="00325153"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EB"/>
    <w:rsid w:val="000401B9"/>
    <w:rsid w:val="00090302"/>
    <w:rsid w:val="000D7E81"/>
    <w:rsid w:val="001402F8"/>
    <w:rsid w:val="00161343"/>
    <w:rsid w:val="00170F20"/>
    <w:rsid w:val="00186CED"/>
    <w:rsid w:val="002116B5"/>
    <w:rsid w:val="00241413"/>
    <w:rsid w:val="00257003"/>
    <w:rsid w:val="002B7CE7"/>
    <w:rsid w:val="002E15C9"/>
    <w:rsid w:val="00325153"/>
    <w:rsid w:val="00336864"/>
    <w:rsid w:val="003B6369"/>
    <w:rsid w:val="00434998"/>
    <w:rsid w:val="004350FB"/>
    <w:rsid w:val="004447FF"/>
    <w:rsid w:val="0048591B"/>
    <w:rsid w:val="0049772F"/>
    <w:rsid w:val="004E3BCD"/>
    <w:rsid w:val="004E6CD2"/>
    <w:rsid w:val="00553CDF"/>
    <w:rsid w:val="00555A11"/>
    <w:rsid w:val="005C2560"/>
    <w:rsid w:val="005D1C50"/>
    <w:rsid w:val="00601559"/>
    <w:rsid w:val="00614E7C"/>
    <w:rsid w:val="00615EA0"/>
    <w:rsid w:val="006345EB"/>
    <w:rsid w:val="00663C7D"/>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96EB5"/>
    <w:rsid w:val="00AA0A0F"/>
    <w:rsid w:val="00AD6198"/>
    <w:rsid w:val="00B13427"/>
    <w:rsid w:val="00B41EA5"/>
    <w:rsid w:val="00B959B9"/>
    <w:rsid w:val="00BA4AE7"/>
    <w:rsid w:val="00BD197C"/>
    <w:rsid w:val="00BD2556"/>
    <w:rsid w:val="00BD7F5C"/>
    <w:rsid w:val="00BF33AC"/>
    <w:rsid w:val="00C407B2"/>
    <w:rsid w:val="00C716FC"/>
    <w:rsid w:val="00CA3515"/>
    <w:rsid w:val="00CE5856"/>
    <w:rsid w:val="00D17319"/>
    <w:rsid w:val="00D25C88"/>
    <w:rsid w:val="00D52365"/>
    <w:rsid w:val="00DC7D1B"/>
    <w:rsid w:val="00DD5004"/>
    <w:rsid w:val="00E32890"/>
    <w:rsid w:val="00E554A7"/>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7C7C"/>
  <w15:chartTrackingRefBased/>
  <w15:docId w15:val="{F0CFD258-29DE-49CA-BA88-27CA8530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BalloonText">
    <w:name w:val="Balloon Text"/>
    <w:basedOn w:val="Normal"/>
    <w:link w:val="BalloonTextChar"/>
    <w:uiPriority w:val="99"/>
    <w:semiHidden/>
    <w:unhideWhenUsed/>
    <w:rsid w:val="00485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91B"/>
    <w:rPr>
      <w:rFonts w:ascii="Segoe UI" w:hAnsi="Segoe UI" w:cs="Segoe UI"/>
      <w:sz w:val="18"/>
      <w:szCs w:val="18"/>
    </w:rPr>
  </w:style>
  <w:style w:type="paragraph" w:styleId="NormalWeb">
    <w:name w:val="Normal (Web)"/>
    <w:basedOn w:val="Normal"/>
    <w:uiPriority w:val="99"/>
    <w:unhideWhenUsed/>
    <w:rsid w:val="0048591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48591B"/>
    <w:rPr>
      <w:color w:val="0000FF"/>
      <w:u w:val="single"/>
    </w:rPr>
  </w:style>
  <w:style w:type="character" w:styleId="CommentReference">
    <w:name w:val="annotation reference"/>
    <w:uiPriority w:val="99"/>
    <w:semiHidden/>
    <w:unhideWhenUsed/>
    <w:rsid w:val="0048591B"/>
    <w:rPr>
      <w:sz w:val="16"/>
      <w:szCs w:val="16"/>
    </w:rPr>
  </w:style>
  <w:style w:type="paragraph" w:styleId="Revision">
    <w:name w:val="Revision"/>
    <w:hidden/>
    <w:uiPriority w:val="99"/>
    <w:semiHidden/>
    <w:rsid w:val="00257003"/>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il.ouplaw.com/display/10.1093/law-oxio/e785.013.1/law-oxio-e785?rskey=HfNqwJ&amp;result=1&amp;prd=OXI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il.ouplaw.com/display/10.1093/law-oxio/e784.013.1/law-oxio-e784?rskey=vfufUH&amp;result=2&amp;prd=OXIO" TargetMode="External"/><Relationship Id="rId5" Type="http://schemas.openxmlformats.org/officeDocument/2006/relationships/styles" Target="styles.xml"/><Relationship Id="rId10" Type="http://schemas.openxmlformats.org/officeDocument/2006/relationships/hyperlink" Target="https://opil.ouplaw.com/display/10.1093/law-oxio/e785.013.1/law-oxio-e785?rskey=HfNqwJ&amp;result=1&amp;prd=OXIO" TargetMode="External"/><Relationship Id="rId4" Type="http://schemas.openxmlformats.org/officeDocument/2006/relationships/customXml" Target="../customXml/item4.xml"/><Relationship Id="rId9" Type="http://schemas.openxmlformats.org/officeDocument/2006/relationships/hyperlink" Target="https://opil.ouplaw.com/display/10.1093/law-oxio/e784.013.1/law-oxio-e784?rskey=vfufUH&amp;result=2&amp;prd=OXIO"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09E7F29E924D4E8E4BCC1CF137BAFC" ma:contentTypeVersion="0" ma:contentTypeDescription="Ustvari nov dokument." ma:contentTypeScope="" ma:versionID="c44ed0307daf783690a0635af5f8c11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E0123-A2FF-4B9D-8FD6-0AB629D9AE58}">
  <ds:schemaRefs>
    <ds:schemaRef ds:uri="http://schemas.microsoft.com/sharepoint/v3/contenttype/forms"/>
  </ds:schemaRefs>
</ds:datastoreItem>
</file>

<file path=customXml/itemProps2.xml><?xml version="1.0" encoding="utf-8"?>
<ds:datastoreItem xmlns:ds="http://schemas.openxmlformats.org/officeDocument/2006/customXml" ds:itemID="{B8523014-1D45-4318-AE48-1881717009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120DCA-B0F5-42C8-B0F9-438AAA260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72B151-F0A3-45B3-B060-8C3152E9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2155</Words>
  <Characters>12284</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4</cp:revision>
  <dcterms:created xsi:type="dcterms:W3CDTF">2025-05-09T11:32:00Z</dcterms:created>
  <dcterms:modified xsi:type="dcterms:W3CDTF">2025-08-19T08:16:00Z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0x0101003609E7F29E924D4E8E4BCC1CF137BAFC</vt:lpwstr>
  </property>
</Properties>
</file>