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59A04" w14:textId="77777777" w:rsidR="006C4C8D" w:rsidRDefault="00A86C1F">
      <w:pPr>
        <w:pStyle w:val="Heading1"/>
      </w:pPr>
      <w:r>
        <w:t>Mednarodno pravo</w:t>
      </w:r>
      <w:r>
        <w:br/>
      </w:r>
      <w:r>
        <w:br/>
        <w:t>Učni načrt predmeta/Course syllabus</w:t>
      </w:r>
    </w:p>
    <w:tbl>
      <w:tblPr>
        <w:tblStyle w:val="VerticalTable"/>
        <w:tblW w:w="5000" w:type="pct"/>
        <w:tblLook w:val="04A0" w:firstRow="1" w:lastRow="0" w:firstColumn="1" w:lastColumn="0" w:noHBand="0" w:noVBand="1"/>
      </w:tblPr>
      <w:tblGrid>
        <w:gridCol w:w="4812"/>
        <w:gridCol w:w="4821"/>
      </w:tblGrid>
      <w:tr w:rsidR="006C4C8D" w14:paraId="5600FF71"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389257CE" w14:textId="77777777" w:rsidR="006C4C8D" w:rsidRDefault="00A86C1F">
            <w:r>
              <w:t>Predmet:</w:t>
            </w:r>
          </w:p>
        </w:tc>
        <w:tc>
          <w:tcPr>
            <w:tcW w:w="0" w:type="pct"/>
          </w:tcPr>
          <w:p w14:paraId="613F5732" w14:textId="77777777" w:rsidR="006C4C8D" w:rsidRDefault="00A86C1F">
            <w:pPr>
              <w:cnfStyle w:val="000000000000" w:firstRow="0" w:lastRow="0" w:firstColumn="0" w:lastColumn="0" w:oddVBand="0" w:evenVBand="0" w:oddHBand="0" w:evenHBand="0" w:firstRowFirstColumn="0" w:firstRowLastColumn="0" w:lastRowFirstColumn="0" w:lastRowLastColumn="0"/>
            </w:pPr>
            <w:r>
              <w:t>Mednarodno pravo</w:t>
            </w:r>
          </w:p>
        </w:tc>
      </w:tr>
      <w:tr w:rsidR="006C4C8D" w14:paraId="3B59C45B"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7F546990" w14:textId="77777777" w:rsidR="006C4C8D" w:rsidRDefault="00A86C1F">
            <w:r>
              <w:t>Course title:</w:t>
            </w:r>
          </w:p>
        </w:tc>
        <w:tc>
          <w:tcPr>
            <w:tcW w:w="0" w:type="pct"/>
          </w:tcPr>
          <w:p w14:paraId="6462BF82" w14:textId="77777777" w:rsidR="006C4C8D" w:rsidRDefault="00A86C1F">
            <w:pPr>
              <w:cnfStyle w:val="000000000000" w:firstRow="0" w:lastRow="0" w:firstColumn="0" w:lastColumn="0" w:oddVBand="0" w:evenVBand="0" w:oddHBand="0" w:evenHBand="0" w:firstRowFirstColumn="0" w:firstRowLastColumn="0" w:lastRowFirstColumn="0" w:lastRowLastColumn="0"/>
            </w:pPr>
            <w:r>
              <w:t>International law</w:t>
            </w:r>
          </w:p>
        </w:tc>
      </w:tr>
      <w:tr w:rsidR="006C4C8D" w14:paraId="35A17D43"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7DCEA0A2" w14:textId="77777777" w:rsidR="006C4C8D" w:rsidRDefault="00A86C1F">
            <w:r>
              <w:t>Članica nosilka/UL Member:</w:t>
            </w:r>
          </w:p>
        </w:tc>
        <w:tc>
          <w:tcPr>
            <w:tcW w:w="0" w:type="pct"/>
          </w:tcPr>
          <w:p w14:paraId="7AF57549" w14:textId="77777777" w:rsidR="006C4C8D" w:rsidRDefault="00A86C1F">
            <w:pPr>
              <w:cnfStyle w:val="000000000000" w:firstRow="0" w:lastRow="0" w:firstColumn="0" w:lastColumn="0" w:oddVBand="0" w:evenVBand="0" w:oddHBand="0" w:evenHBand="0" w:firstRowFirstColumn="0" w:firstRowLastColumn="0" w:lastRowFirstColumn="0" w:lastRowLastColumn="0"/>
            </w:pPr>
            <w:r>
              <w:t>UL PF</w:t>
            </w:r>
          </w:p>
        </w:tc>
      </w:tr>
    </w:tbl>
    <w:p w14:paraId="0F4F440A" w14:textId="77777777" w:rsidR="006C4C8D" w:rsidRDefault="006C4C8D"/>
    <w:tbl>
      <w:tblPr>
        <w:tblStyle w:val="DefaultTable"/>
        <w:tblW w:w="5000" w:type="pct"/>
        <w:tblLook w:val="04A0" w:firstRow="1" w:lastRow="0" w:firstColumn="1" w:lastColumn="0" w:noHBand="0" w:noVBand="1"/>
      </w:tblPr>
      <w:tblGrid>
        <w:gridCol w:w="1900"/>
        <w:gridCol w:w="2147"/>
        <w:gridCol w:w="1718"/>
        <w:gridCol w:w="1988"/>
        <w:gridCol w:w="1885"/>
      </w:tblGrid>
      <w:tr w:rsidR="006C4C8D" w14:paraId="3595AF2C"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6EF1FF28" w14:textId="77777777" w:rsidR="006C4C8D" w:rsidRDefault="00A86C1F">
            <w:r>
              <w:t>Študijski programi in stopnja</w:t>
            </w:r>
          </w:p>
        </w:tc>
        <w:tc>
          <w:tcPr>
            <w:tcW w:w="0" w:type="pct"/>
          </w:tcPr>
          <w:p w14:paraId="54D6A554" w14:textId="77777777" w:rsidR="006C4C8D" w:rsidRDefault="00A86C1F">
            <w:r>
              <w:t>Študijska smer</w:t>
            </w:r>
          </w:p>
        </w:tc>
        <w:tc>
          <w:tcPr>
            <w:tcW w:w="0" w:type="pct"/>
          </w:tcPr>
          <w:p w14:paraId="499174D6" w14:textId="77777777" w:rsidR="006C4C8D" w:rsidRDefault="00A86C1F">
            <w:r>
              <w:t>Letnik</w:t>
            </w:r>
          </w:p>
        </w:tc>
        <w:tc>
          <w:tcPr>
            <w:tcW w:w="0" w:type="pct"/>
          </w:tcPr>
          <w:p w14:paraId="6C3C101A" w14:textId="77777777" w:rsidR="006C4C8D" w:rsidRDefault="00A86C1F">
            <w:r>
              <w:t>Semestri</w:t>
            </w:r>
          </w:p>
        </w:tc>
        <w:tc>
          <w:tcPr>
            <w:tcW w:w="0" w:type="pct"/>
          </w:tcPr>
          <w:p w14:paraId="5742B7E5" w14:textId="77777777" w:rsidR="006C4C8D" w:rsidRDefault="00A86C1F">
            <w:r>
              <w:t>Izbirnost</w:t>
            </w:r>
          </w:p>
        </w:tc>
      </w:tr>
      <w:tr w:rsidR="006C4C8D" w14:paraId="24EF25A7" w14:textId="77777777" w:rsidTr="00D94EC2">
        <w:tc>
          <w:tcPr>
            <w:tcW w:w="0" w:type="pct"/>
          </w:tcPr>
          <w:p w14:paraId="4A6E02CD" w14:textId="77777777" w:rsidR="006C4C8D" w:rsidRDefault="00A86C1F">
            <w:r>
              <w:t>Pravo, tretja stopnja, doktorski</w:t>
            </w:r>
          </w:p>
        </w:tc>
        <w:tc>
          <w:tcPr>
            <w:tcW w:w="0" w:type="pct"/>
          </w:tcPr>
          <w:p w14:paraId="796E47D0" w14:textId="77777777" w:rsidR="006C4C8D" w:rsidRDefault="00A86C1F">
            <w:r>
              <w:t xml:space="preserve">Mednarodno pravo (modul)                </w:t>
            </w:r>
          </w:p>
        </w:tc>
        <w:tc>
          <w:tcPr>
            <w:tcW w:w="0" w:type="pct"/>
          </w:tcPr>
          <w:p w14:paraId="16C5F27F" w14:textId="77777777" w:rsidR="006C4C8D" w:rsidRDefault="00A86C1F">
            <w:r>
              <w:t>1. letnik</w:t>
            </w:r>
          </w:p>
        </w:tc>
        <w:tc>
          <w:tcPr>
            <w:tcW w:w="0" w:type="pct"/>
          </w:tcPr>
          <w:p w14:paraId="42F4B666" w14:textId="77777777" w:rsidR="006C4C8D" w:rsidRDefault="00A86C1F">
            <w:r>
              <w:t>2. semester</w:t>
            </w:r>
          </w:p>
        </w:tc>
        <w:tc>
          <w:tcPr>
            <w:tcW w:w="0" w:type="pct"/>
          </w:tcPr>
          <w:p w14:paraId="41062CBD" w14:textId="77777777" w:rsidR="006C4C8D" w:rsidRDefault="00A86C1F">
            <w:r>
              <w:t>obvezni</w:t>
            </w:r>
          </w:p>
        </w:tc>
      </w:tr>
    </w:tbl>
    <w:p w14:paraId="05844D17" w14:textId="77777777" w:rsidR="006C4C8D" w:rsidRDefault="006C4C8D"/>
    <w:tbl>
      <w:tblPr>
        <w:tblStyle w:val="VerticalTable"/>
        <w:tblW w:w="5000" w:type="pct"/>
        <w:tblLook w:val="04A0" w:firstRow="1" w:lastRow="0" w:firstColumn="1" w:lastColumn="0" w:noHBand="0" w:noVBand="1"/>
      </w:tblPr>
      <w:tblGrid>
        <w:gridCol w:w="5437"/>
        <w:gridCol w:w="4196"/>
      </w:tblGrid>
      <w:tr w:rsidR="006C4C8D" w14:paraId="54FFE72D"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3F8E2187" w14:textId="77777777" w:rsidR="006C4C8D" w:rsidRDefault="00A86C1F">
            <w:r>
              <w:t>Univerzitetna koda predmeta/University course code:</w:t>
            </w:r>
          </w:p>
        </w:tc>
        <w:tc>
          <w:tcPr>
            <w:tcW w:w="0" w:type="pct"/>
          </w:tcPr>
          <w:p w14:paraId="4AA91E65" w14:textId="77777777" w:rsidR="006C4C8D" w:rsidRDefault="00A86C1F">
            <w:pPr>
              <w:cnfStyle w:val="000000000000" w:firstRow="0" w:lastRow="0" w:firstColumn="0" w:lastColumn="0" w:oddVBand="0" w:evenVBand="0" w:oddHBand="0" w:evenHBand="0" w:firstRowFirstColumn="0" w:firstRowLastColumn="0" w:lastRowFirstColumn="0" w:lastRowLastColumn="0"/>
            </w:pPr>
            <w:r>
              <w:t>0045912</w:t>
            </w:r>
          </w:p>
        </w:tc>
      </w:tr>
      <w:tr w:rsidR="006C4C8D" w14:paraId="4ABA54E7"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7854850F" w14:textId="77777777" w:rsidR="006C4C8D" w:rsidRDefault="00A86C1F">
            <w:r>
              <w:t>Koda učne enote na članici/UL Member course code:</w:t>
            </w:r>
          </w:p>
        </w:tc>
        <w:tc>
          <w:tcPr>
            <w:tcW w:w="0" w:type="pct"/>
          </w:tcPr>
          <w:p w14:paraId="5D8176E0" w14:textId="77777777" w:rsidR="006C4C8D" w:rsidRDefault="00A86C1F">
            <w:pPr>
              <w:cnfStyle w:val="000000000000" w:firstRow="0" w:lastRow="0" w:firstColumn="0" w:lastColumn="0" w:oddVBand="0" w:evenVBand="0" w:oddHBand="0" w:evenHBand="0" w:firstRowFirstColumn="0" w:firstRowLastColumn="0" w:lastRowFirstColumn="0" w:lastRowLastColumn="0"/>
            </w:pPr>
            <w:r>
              <w:t>525</w:t>
            </w:r>
          </w:p>
        </w:tc>
      </w:tr>
    </w:tbl>
    <w:p w14:paraId="6958007A" w14:textId="77777777" w:rsidR="006C4C8D" w:rsidRDefault="006C4C8D"/>
    <w:tbl>
      <w:tblPr>
        <w:tblStyle w:val="DefaultTable"/>
        <w:tblW w:w="5000" w:type="pct"/>
        <w:tblLook w:val="04A0" w:firstRow="1" w:lastRow="0" w:firstColumn="1" w:lastColumn="0" w:noHBand="0" w:noVBand="1"/>
      </w:tblPr>
      <w:tblGrid>
        <w:gridCol w:w="1545"/>
        <w:gridCol w:w="1400"/>
        <w:gridCol w:w="1483"/>
        <w:gridCol w:w="1352"/>
        <w:gridCol w:w="1178"/>
        <w:gridCol w:w="1599"/>
        <w:gridCol w:w="1081"/>
      </w:tblGrid>
      <w:tr w:rsidR="006C4C8D" w14:paraId="6E1A56B1"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70172B00" w14:textId="77777777" w:rsidR="006C4C8D" w:rsidRDefault="00A86C1F">
            <w:pPr>
              <w:keepNext/>
              <w:jc w:val="center"/>
            </w:pPr>
            <w:r>
              <w:t>Predavanja</w:t>
            </w:r>
            <w:r>
              <w:br/>
              <w:t>/Lectures</w:t>
            </w:r>
          </w:p>
        </w:tc>
        <w:tc>
          <w:tcPr>
            <w:tcW w:w="0" w:type="pct"/>
          </w:tcPr>
          <w:p w14:paraId="43D9814E" w14:textId="77777777" w:rsidR="006C4C8D" w:rsidRDefault="00A86C1F">
            <w:pPr>
              <w:keepNext/>
              <w:jc w:val="center"/>
            </w:pPr>
            <w:r>
              <w:t>Seminar</w:t>
            </w:r>
            <w:r>
              <w:br/>
              <w:t>/Seminar</w:t>
            </w:r>
          </w:p>
        </w:tc>
        <w:tc>
          <w:tcPr>
            <w:tcW w:w="0" w:type="pct"/>
          </w:tcPr>
          <w:p w14:paraId="0A42732B" w14:textId="77777777" w:rsidR="006C4C8D" w:rsidRDefault="00A86C1F">
            <w:pPr>
              <w:keepNext/>
              <w:jc w:val="center"/>
            </w:pPr>
            <w:r>
              <w:t>Vaje</w:t>
            </w:r>
            <w:r>
              <w:br/>
              <w:t>/Tutorials</w:t>
            </w:r>
          </w:p>
        </w:tc>
        <w:tc>
          <w:tcPr>
            <w:tcW w:w="0" w:type="pct"/>
          </w:tcPr>
          <w:p w14:paraId="3248E654" w14:textId="77777777" w:rsidR="006C4C8D" w:rsidRDefault="00A86C1F">
            <w:pPr>
              <w:keepNext/>
              <w:jc w:val="center"/>
            </w:pPr>
            <w:r>
              <w:t>Klinične vaje</w:t>
            </w:r>
            <w:r>
              <w:br/>
              <w:t>/Clinical tutorials</w:t>
            </w:r>
          </w:p>
        </w:tc>
        <w:tc>
          <w:tcPr>
            <w:tcW w:w="0" w:type="pct"/>
          </w:tcPr>
          <w:p w14:paraId="31B8F6B7" w14:textId="77777777" w:rsidR="006C4C8D" w:rsidRDefault="00A86C1F">
            <w:pPr>
              <w:keepNext/>
              <w:jc w:val="center"/>
            </w:pPr>
            <w:r>
              <w:t>Druge oblike študija</w:t>
            </w:r>
            <w:r>
              <w:br/>
              <w:t>/Other forms of study</w:t>
            </w:r>
          </w:p>
        </w:tc>
        <w:tc>
          <w:tcPr>
            <w:tcW w:w="0" w:type="pct"/>
          </w:tcPr>
          <w:p w14:paraId="1FDD87ED" w14:textId="77777777" w:rsidR="006C4C8D" w:rsidRDefault="00A86C1F">
            <w:pPr>
              <w:keepNext/>
              <w:jc w:val="center"/>
            </w:pPr>
            <w:r>
              <w:t>Samostojno delo</w:t>
            </w:r>
            <w:r>
              <w:br/>
              <w:t>/Individual student work</w:t>
            </w:r>
          </w:p>
        </w:tc>
        <w:tc>
          <w:tcPr>
            <w:tcW w:w="0" w:type="pct"/>
          </w:tcPr>
          <w:p w14:paraId="10B4407B" w14:textId="77777777" w:rsidR="006C4C8D" w:rsidRDefault="00A86C1F">
            <w:pPr>
              <w:keepNext/>
              <w:jc w:val="center"/>
            </w:pPr>
            <w:r>
              <w:t>ECTS</w:t>
            </w:r>
          </w:p>
        </w:tc>
      </w:tr>
      <w:tr w:rsidR="006C4C8D" w14:paraId="7591D192" w14:textId="77777777" w:rsidTr="00D94EC2">
        <w:tc>
          <w:tcPr>
            <w:tcW w:w="0" w:type="auto"/>
          </w:tcPr>
          <w:p w14:paraId="037CC45B" w14:textId="77777777" w:rsidR="006C4C8D" w:rsidRDefault="00A86C1F">
            <w:pPr>
              <w:keepNext/>
              <w:jc w:val="center"/>
            </w:pPr>
            <w:r>
              <w:t>30</w:t>
            </w:r>
          </w:p>
        </w:tc>
        <w:tc>
          <w:tcPr>
            <w:tcW w:w="0" w:type="auto"/>
          </w:tcPr>
          <w:p w14:paraId="64859ADE" w14:textId="77777777" w:rsidR="006C4C8D" w:rsidRDefault="00A86C1F">
            <w:pPr>
              <w:keepNext/>
              <w:jc w:val="center"/>
            </w:pPr>
            <w:r>
              <w:t>0</w:t>
            </w:r>
          </w:p>
        </w:tc>
        <w:tc>
          <w:tcPr>
            <w:tcW w:w="0" w:type="auto"/>
          </w:tcPr>
          <w:p w14:paraId="74931F3F" w14:textId="77777777" w:rsidR="006C4C8D" w:rsidRDefault="00A86C1F">
            <w:pPr>
              <w:keepNext/>
              <w:jc w:val="center"/>
            </w:pPr>
            <w:r>
              <w:t>15</w:t>
            </w:r>
          </w:p>
        </w:tc>
        <w:tc>
          <w:tcPr>
            <w:tcW w:w="0" w:type="auto"/>
          </w:tcPr>
          <w:p w14:paraId="4B22A39B" w14:textId="77777777" w:rsidR="006C4C8D" w:rsidRDefault="00A86C1F">
            <w:pPr>
              <w:keepNext/>
              <w:jc w:val="center"/>
            </w:pPr>
            <w:r>
              <w:t>0</w:t>
            </w:r>
          </w:p>
        </w:tc>
        <w:tc>
          <w:tcPr>
            <w:tcW w:w="0" w:type="auto"/>
          </w:tcPr>
          <w:p w14:paraId="0AEB448F" w14:textId="77777777" w:rsidR="006C4C8D" w:rsidRDefault="00A86C1F">
            <w:pPr>
              <w:keepNext/>
              <w:jc w:val="center"/>
            </w:pPr>
            <w:r>
              <w:t>80</w:t>
            </w:r>
          </w:p>
        </w:tc>
        <w:tc>
          <w:tcPr>
            <w:tcW w:w="0" w:type="auto"/>
          </w:tcPr>
          <w:p w14:paraId="7EB1CDDB" w14:textId="77777777" w:rsidR="006C4C8D" w:rsidRDefault="00A86C1F">
            <w:pPr>
              <w:keepNext/>
              <w:jc w:val="center"/>
            </w:pPr>
            <w:r>
              <w:t>125</w:t>
            </w:r>
          </w:p>
        </w:tc>
        <w:tc>
          <w:tcPr>
            <w:tcW w:w="0" w:type="auto"/>
          </w:tcPr>
          <w:p w14:paraId="06333556" w14:textId="77777777" w:rsidR="006C4C8D" w:rsidRDefault="00A86C1F">
            <w:pPr>
              <w:keepNext/>
              <w:jc w:val="center"/>
            </w:pPr>
            <w:r>
              <w:t>10</w:t>
            </w:r>
          </w:p>
        </w:tc>
      </w:tr>
    </w:tbl>
    <w:p w14:paraId="7621CA1E" w14:textId="77777777" w:rsidR="006C4C8D" w:rsidRDefault="006C4C8D"/>
    <w:tbl>
      <w:tblPr>
        <w:tblStyle w:val="VerticalTable"/>
        <w:tblW w:w="5000" w:type="pct"/>
        <w:tblLook w:val="04A0" w:firstRow="1" w:lastRow="0" w:firstColumn="1" w:lastColumn="0" w:noHBand="0" w:noVBand="1"/>
      </w:tblPr>
      <w:tblGrid>
        <w:gridCol w:w="3083"/>
        <w:gridCol w:w="6550"/>
      </w:tblGrid>
      <w:tr w:rsidR="006C4C8D" w14:paraId="3DAE5788" w14:textId="77777777" w:rsidTr="006C4C8D">
        <w:tc>
          <w:tcPr>
            <w:cnfStyle w:val="001000000000" w:firstRow="0" w:lastRow="0" w:firstColumn="1" w:lastColumn="0" w:oddVBand="0" w:evenVBand="0" w:oddHBand="0" w:evenHBand="0" w:firstRowFirstColumn="0" w:firstRowLastColumn="0" w:lastRowFirstColumn="0" w:lastRowLastColumn="0"/>
            <w:tcW w:w="1600" w:type="pct"/>
          </w:tcPr>
          <w:p w14:paraId="0953D950" w14:textId="77777777" w:rsidR="006C4C8D" w:rsidRDefault="00A86C1F">
            <w:r>
              <w:t>Nosilec predmeta/Lecturer:</w:t>
            </w:r>
          </w:p>
        </w:tc>
        <w:tc>
          <w:tcPr>
            <w:tcW w:w="3400" w:type="pct"/>
          </w:tcPr>
          <w:p w14:paraId="70C481A4" w14:textId="49AAE265" w:rsidR="006C4C8D" w:rsidRDefault="00806D5F">
            <w:pPr>
              <w:cnfStyle w:val="000000000000" w:firstRow="0" w:lastRow="0" w:firstColumn="0" w:lastColumn="0" w:oddVBand="0" w:evenVBand="0" w:oddHBand="0" w:evenHBand="0" w:firstRowFirstColumn="0" w:firstRowLastColumn="0" w:lastRowFirstColumn="0" w:lastRowLastColumn="0"/>
            </w:pPr>
            <w:r>
              <w:t>doc. dr. Maša Kovič Dine, doc. dr. Maruša Tekavčič Veber</w:t>
            </w:r>
          </w:p>
        </w:tc>
      </w:tr>
    </w:tbl>
    <w:p w14:paraId="6460C60F" w14:textId="77777777" w:rsidR="006C4C8D" w:rsidRDefault="006C4C8D"/>
    <w:tbl>
      <w:tblPr>
        <w:tblStyle w:val="VerticalTable"/>
        <w:tblW w:w="5000" w:type="pct"/>
        <w:tblLook w:val="04A0" w:firstRow="1" w:lastRow="0" w:firstColumn="1" w:lastColumn="0" w:noHBand="0" w:noVBand="1"/>
      </w:tblPr>
      <w:tblGrid>
        <w:gridCol w:w="3083"/>
        <w:gridCol w:w="6550"/>
      </w:tblGrid>
      <w:tr w:rsidR="006C4C8D" w14:paraId="34FBF71C" w14:textId="77777777" w:rsidTr="006C4C8D">
        <w:tc>
          <w:tcPr>
            <w:cnfStyle w:val="001000000000" w:firstRow="0" w:lastRow="0" w:firstColumn="1" w:lastColumn="0" w:oddVBand="0" w:evenVBand="0" w:oddHBand="0" w:evenHBand="0" w:firstRowFirstColumn="0" w:firstRowLastColumn="0" w:lastRowFirstColumn="0" w:lastRowLastColumn="0"/>
            <w:tcW w:w="1600" w:type="pct"/>
          </w:tcPr>
          <w:p w14:paraId="6F9B1C7E" w14:textId="77777777" w:rsidR="006C4C8D" w:rsidRDefault="00A86C1F">
            <w:r>
              <w:t>Izvajalci predavanj:</w:t>
            </w:r>
          </w:p>
        </w:tc>
        <w:tc>
          <w:tcPr>
            <w:tcW w:w="3400" w:type="pct"/>
          </w:tcPr>
          <w:p w14:paraId="2CA0EEF5" w14:textId="3BBC1110" w:rsidR="006C4C8D" w:rsidRDefault="00806D5F">
            <w:pPr>
              <w:cnfStyle w:val="000000000000" w:firstRow="0" w:lastRow="0" w:firstColumn="0" w:lastColumn="0" w:oddVBand="0" w:evenVBand="0" w:oddHBand="0" w:evenHBand="0" w:firstRowFirstColumn="0" w:firstRowLastColumn="0" w:lastRowFirstColumn="0" w:lastRowLastColumn="0"/>
            </w:pPr>
            <w:r>
              <w:t>doc. dr. Maša Kovič Dine, doc. dr. Maruša Tekavčič Veber</w:t>
            </w:r>
          </w:p>
        </w:tc>
      </w:tr>
      <w:tr w:rsidR="006C4C8D" w14:paraId="53E0533D"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4143B94D" w14:textId="77777777" w:rsidR="006C4C8D" w:rsidRDefault="00A86C1F">
            <w:r>
              <w:t>Izvajalci seminarjev:</w:t>
            </w:r>
          </w:p>
        </w:tc>
        <w:tc>
          <w:tcPr>
            <w:tcW w:w="0" w:type="pct"/>
          </w:tcPr>
          <w:p w14:paraId="5E28876D" w14:textId="77777777" w:rsidR="006C4C8D" w:rsidRDefault="006C4C8D">
            <w:pPr>
              <w:cnfStyle w:val="000000000000" w:firstRow="0" w:lastRow="0" w:firstColumn="0" w:lastColumn="0" w:oddVBand="0" w:evenVBand="0" w:oddHBand="0" w:evenHBand="0" w:firstRowFirstColumn="0" w:firstRowLastColumn="0" w:lastRowFirstColumn="0" w:lastRowLastColumn="0"/>
            </w:pPr>
          </w:p>
        </w:tc>
      </w:tr>
      <w:tr w:rsidR="006C4C8D" w14:paraId="553192E7" w14:textId="77777777" w:rsidTr="006C4C8D">
        <w:tc>
          <w:tcPr>
            <w:cnfStyle w:val="001000000000" w:firstRow="0" w:lastRow="0" w:firstColumn="1" w:lastColumn="0" w:oddVBand="0" w:evenVBand="0" w:oddHBand="0" w:evenHBand="0" w:firstRowFirstColumn="0" w:firstRowLastColumn="0" w:lastRowFirstColumn="0" w:lastRowLastColumn="0"/>
            <w:tcW w:w="1600" w:type="pct"/>
          </w:tcPr>
          <w:p w14:paraId="5FE6218D" w14:textId="77777777" w:rsidR="006C4C8D" w:rsidRDefault="00A86C1F">
            <w:r>
              <w:t>Izvajalci vaj:</w:t>
            </w:r>
          </w:p>
        </w:tc>
        <w:tc>
          <w:tcPr>
            <w:tcW w:w="3400" w:type="pct"/>
          </w:tcPr>
          <w:p w14:paraId="1AA208A0" w14:textId="38E75A85" w:rsidR="006C4C8D" w:rsidRDefault="00806D5F">
            <w:pPr>
              <w:cnfStyle w:val="000000000000" w:firstRow="0" w:lastRow="0" w:firstColumn="0" w:lastColumn="0" w:oddVBand="0" w:evenVBand="0" w:oddHBand="0" w:evenHBand="0" w:firstRowFirstColumn="0" w:firstRowLastColumn="0" w:lastRowFirstColumn="0" w:lastRowLastColumn="0"/>
            </w:pPr>
            <w:r>
              <w:t>doc. dr. Maša Kovič Dine, doc. dr. Maruša Tekavčič Veber</w:t>
            </w:r>
          </w:p>
        </w:tc>
      </w:tr>
      <w:tr w:rsidR="006C4C8D" w14:paraId="4C38304F"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69DD8B45" w14:textId="77777777" w:rsidR="006C4C8D" w:rsidRDefault="00A86C1F">
            <w:r>
              <w:t>Izvajalci kliničnih vaj:</w:t>
            </w:r>
          </w:p>
        </w:tc>
        <w:tc>
          <w:tcPr>
            <w:tcW w:w="0" w:type="pct"/>
          </w:tcPr>
          <w:p w14:paraId="7334D0B9" w14:textId="77777777" w:rsidR="006C4C8D" w:rsidRDefault="006C4C8D">
            <w:pPr>
              <w:cnfStyle w:val="000000000000" w:firstRow="0" w:lastRow="0" w:firstColumn="0" w:lastColumn="0" w:oddVBand="0" w:evenVBand="0" w:oddHBand="0" w:evenHBand="0" w:firstRowFirstColumn="0" w:firstRowLastColumn="0" w:lastRowFirstColumn="0" w:lastRowLastColumn="0"/>
            </w:pPr>
          </w:p>
        </w:tc>
      </w:tr>
      <w:tr w:rsidR="006C4C8D" w14:paraId="694EBEB9" w14:textId="77777777" w:rsidTr="006C4C8D">
        <w:tc>
          <w:tcPr>
            <w:cnfStyle w:val="001000000000" w:firstRow="0" w:lastRow="0" w:firstColumn="1" w:lastColumn="0" w:oddVBand="0" w:evenVBand="0" w:oddHBand="0" w:evenHBand="0" w:firstRowFirstColumn="0" w:firstRowLastColumn="0" w:lastRowFirstColumn="0" w:lastRowLastColumn="0"/>
            <w:tcW w:w="1600" w:type="pct"/>
          </w:tcPr>
          <w:p w14:paraId="22A21E25" w14:textId="77777777" w:rsidR="006C4C8D" w:rsidRDefault="00A86C1F">
            <w:r>
              <w:t>Izvajalci drugih oblik:</w:t>
            </w:r>
          </w:p>
        </w:tc>
        <w:tc>
          <w:tcPr>
            <w:tcW w:w="3400" w:type="pct"/>
          </w:tcPr>
          <w:p w14:paraId="406B23F2" w14:textId="1E8873A4" w:rsidR="006C4C8D" w:rsidRDefault="00806D5F">
            <w:pPr>
              <w:cnfStyle w:val="000000000000" w:firstRow="0" w:lastRow="0" w:firstColumn="0" w:lastColumn="0" w:oddVBand="0" w:evenVBand="0" w:oddHBand="0" w:evenHBand="0" w:firstRowFirstColumn="0" w:firstRowLastColumn="0" w:lastRowFirstColumn="0" w:lastRowLastColumn="0"/>
            </w:pPr>
            <w:r>
              <w:t>doc. dr. Maša Kovič Dine, doc. dr. Maruša Tekavčič Veber</w:t>
            </w:r>
          </w:p>
        </w:tc>
      </w:tr>
      <w:tr w:rsidR="006C4C8D" w14:paraId="185D0FC2"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0CF7A7CF" w14:textId="77777777" w:rsidR="006C4C8D" w:rsidRDefault="00A86C1F">
            <w:r>
              <w:t>Izvajalci praktičnega usposabljanja:</w:t>
            </w:r>
          </w:p>
        </w:tc>
        <w:tc>
          <w:tcPr>
            <w:tcW w:w="0" w:type="pct"/>
          </w:tcPr>
          <w:p w14:paraId="13ED798F" w14:textId="77777777" w:rsidR="006C4C8D" w:rsidRDefault="006C4C8D">
            <w:pPr>
              <w:cnfStyle w:val="000000000000" w:firstRow="0" w:lastRow="0" w:firstColumn="0" w:lastColumn="0" w:oddVBand="0" w:evenVBand="0" w:oddHBand="0" w:evenHBand="0" w:firstRowFirstColumn="0" w:firstRowLastColumn="0" w:lastRowFirstColumn="0" w:lastRowLastColumn="0"/>
            </w:pPr>
          </w:p>
        </w:tc>
      </w:tr>
    </w:tbl>
    <w:p w14:paraId="453250C8" w14:textId="77777777" w:rsidR="006C4C8D" w:rsidRDefault="006C4C8D"/>
    <w:tbl>
      <w:tblPr>
        <w:tblStyle w:val="VerticalTable"/>
        <w:tblW w:w="5000" w:type="pct"/>
        <w:tblLook w:val="04A0" w:firstRow="1" w:lastRow="0" w:firstColumn="1" w:lastColumn="0" w:noHBand="0" w:noVBand="1"/>
      </w:tblPr>
      <w:tblGrid>
        <w:gridCol w:w="4816"/>
        <w:gridCol w:w="4817"/>
      </w:tblGrid>
      <w:tr w:rsidR="006C4C8D" w14:paraId="668E98D8"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3651D130" w14:textId="77777777" w:rsidR="006C4C8D" w:rsidRDefault="00A86C1F">
            <w:r>
              <w:t>Vrsta predmeta/Course type:</w:t>
            </w:r>
          </w:p>
        </w:tc>
        <w:tc>
          <w:tcPr>
            <w:tcW w:w="0" w:type="pct"/>
          </w:tcPr>
          <w:p w14:paraId="7BD2F1AE" w14:textId="77777777" w:rsidR="006C4C8D" w:rsidRDefault="00A86C1F">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078A8165" w14:textId="77777777" w:rsidR="006C4C8D" w:rsidRDefault="006C4C8D"/>
    <w:tbl>
      <w:tblPr>
        <w:tblStyle w:val="VerticalTable"/>
        <w:tblW w:w="5000" w:type="pct"/>
        <w:tblLook w:val="04A0" w:firstRow="1" w:lastRow="0" w:firstColumn="1" w:lastColumn="0" w:noHBand="0" w:noVBand="1"/>
      </w:tblPr>
      <w:tblGrid>
        <w:gridCol w:w="3429"/>
        <w:gridCol w:w="3512"/>
        <w:gridCol w:w="2692"/>
      </w:tblGrid>
      <w:tr w:rsidR="006C4C8D" w14:paraId="7C299853"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6792BAE2" w14:textId="77777777" w:rsidR="006C4C8D" w:rsidRDefault="00A86C1F">
            <w:r>
              <w:t>Jeziki/Languages:</w:t>
            </w:r>
          </w:p>
        </w:tc>
        <w:tc>
          <w:tcPr>
            <w:tcW w:w="0" w:type="pct"/>
          </w:tcPr>
          <w:p w14:paraId="03185CFA" w14:textId="77777777" w:rsidR="006C4C8D" w:rsidRDefault="00A86C1F">
            <w:pPr>
              <w:cnfStyle w:val="000000000000" w:firstRow="0" w:lastRow="0" w:firstColumn="0" w:lastColumn="0" w:oddVBand="0" w:evenVBand="0" w:oddHBand="0" w:evenHBand="0" w:firstRowFirstColumn="0" w:firstRowLastColumn="0" w:lastRowFirstColumn="0" w:lastRowLastColumn="0"/>
            </w:pPr>
            <w:r>
              <w:t>Predavanja/Lectures:</w:t>
            </w:r>
          </w:p>
        </w:tc>
        <w:tc>
          <w:tcPr>
            <w:tcW w:w="0" w:type="pct"/>
          </w:tcPr>
          <w:p w14:paraId="58B3935F" w14:textId="77777777" w:rsidR="006C4C8D" w:rsidRDefault="00A86C1F">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6C4C8D" w14:paraId="2CDC5027" w14:textId="77777777" w:rsidTr="00D94EC2">
        <w:tc>
          <w:tcPr>
            <w:cnfStyle w:val="001000000000" w:firstRow="0" w:lastRow="0" w:firstColumn="1" w:lastColumn="0" w:oddVBand="0" w:evenVBand="0" w:oddHBand="0" w:evenHBand="0" w:firstRowFirstColumn="0" w:firstRowLastColumn="0" w:lastRowFirstColumn="0" w:lastRowLastColumn="0"/>
            <w:tcW w:w="0" w:type="pct"/>
          </w:tcPr>
          <w:p w14:paraId="62C59FD0" w14:textId="77777777" w:rsidR="006C4C8D" w:rsidRDefault="006C4C8D"/>
        </w:tc>
        <w:tc>
          <w:tcPr>
            <w:tcW w:w="0" w:type="pct"/>
          </w:tcPr>
          <w:p w14:paraId="5290CB8C" w14:textId="77777777" w:rsidR="006C4C8D" w:rsidRDefault="00A86C1F">
            <w:pPr>
              <w:cnfStyle w:val="000000000000" w:firstRow="0" w:lastRow="0" w:firstColumn="0" w:lastColumn="0" w:oddVBand="0" w:evenVBand="0" w:oddHBand="0" w:evenHBand="0" w:firstRowFirstColumn="0" w:firstRowLastColumn="0" w:lastRowFirstColumn="0" w:lastRowLastColumn="0"/>
            </w:pPr>
            <w:r>
              <w:t>Vaje/Tutorial:</w:t>
            </w:r>
          </w:p>
        </w:tc>
        <w:tc>
          <w:tcPr>
            <w:tcW w:w="0" w:type="pct"/>
          </w:tcPr>
          <w:p w14:paraId="17DDA3A9" w14:textId="77777777" w:rsidR="006C4C8D" w:rsidRDefault="00A86C1F">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AFBC621" w14:textId="77777777" w:rsidR="006C4C8D" w:rsidRDefault="006C4C8D"/>
    <w:tbl>
      <w:tblPr>
        <w:tblStyle w:val="DefaultTable"/>
        <w:tblW w:w="5000" w:type="pct"/>
        <w:tblLook w:val="04A0" w:firstRow="1" w:lastRow="0" w:firstColumn="1" w:lastColumn="0" w:noHBand="0" w:noVBand="1"/>
      </w:tblPr>
      <w:tblGrid>
        <w:gridCol w:w="4757"/>
        <w:gridCol w:w="4881"/>
      </w:tblGrid>
      <w:tr w:rsidR="006C4C8D" w14:paraId="41B4D0CB"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47ECB149" w14:textId="77777777" w:rsidR="006C4C8D" w:rsidRDefault="00A86C1F">
            <w:r>
              <w:t>Pogoji za vključitev v delo oz. za opravljanje študijskih obveznosti:</w:t>
            </w:r>
          </w:p>
        </w:tc>
        <w:tc>
          <w:tcPr>
            <w:tcW w:w="0" w:type="pct"/>
          </w:tcPr>
          <w:p w14:paraId="5E5A1A6E" w14:textId="77777777" w:rsidR="006C4C8D" w:rsidRDefault="00A86C1F">
            <w:r>
              <w:t>Prerequisites:</w:t>
            </w:r>
          </w:p>
        </w:tc>
      </w:tr>
      <w:tr w:rsidR="006C4C8D" w14:paraId="3089E2F0" w14:textId="77777777" w:rsidTr="00D94EC2">
        <w:tc>
          <w:tcPr>
            <w:tcW w:w="0" w:type="auto"/>
          </w:tcPr>
          <w:p w14:paraId="50BAC5A0" w14:textId="77777777" w:rsidR="006C4C8D" w:rsidRDefault="00A86C1F">
            <w:r>
              <w:t>Izpolnjevanje pogojev za vpis na doktorski študij Pravo in osnovno znanje s področja predmeta, ki ustreza znanju na tem področju, pridobljenem na ravni prve in (ali) druge stopnje študija prava.</w:t>
            </w:r>
          </w:p>
        </w:tc>
        <w:tc>
          <w:tcPr>
            <w:tcW w:w="0" w:type="auto"/>
          </w:tcPr>
          <w:p w14:paraId="283C68B6" w14:textId="77777777" w:rsidR="006C4C8D" w:rsidRDefault="00A86C1F">
            <w:r>
              <w:t>General conditions for enrolment into the Doctoral Programme in Legal Studies with a basic knowledge of the subject at the level of first and (or) second cycle programme in Legal Studies.</w:t>
            </w:r>
          </w:p>
        </w:tc>
      </w:tr>
    </w:tbl>
    <w:p w14:paraId="34D3DC57" w14:textId="77777777" w:rsidR="006C4C8D" w:rsidRDefault="006C4C8D"/>
    <w:tbl>
      <w:tblPr>
        <w:tblStyle w:val="DefaultTable"/>
        <w:tblW w:w="5000" w:type="pct"/>
        <w:tblLook w:val="04A0" w:firstRow="1" w:lastRow="0" w:firstColumn="1" w:lastColumn="0" w:noHBand="0" w:noVBand="1"/>
      </w:tblPr>
      <w:tblGrid>
        <w:gridCol w:w="4850"/>
        <w:gridCol w:w="4788"/>
      </w:tblGrid>
      <w:tr w:rsidR="006C4C8D" w14:paraId="7245E2FE"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3EB8D690" w14:textId="77777777" w:rsidR="006C4C8D" w:rsidRDefault="00A86C1F">
            <w:r>
              <w:t>Vsebina:</w:t>
            </w:r>
          </w:p>
        </w:tc>
        <w:tc>
          <w:tcPr>
            <w:tcW w:w="0" w:type="pct"/>
          </w:tcPr>
          <w:p w14:paraId="540C2DCD" w14:textId="77777777" w:rsidR="006C4C8D" w:rsidRDefault="00A86C1F">
            <w:r>
              <w:t>Content (Syllabus outline):</w:t>
            </w:r>
          </w:p>
        </w:tc>
      </w:tr>
      <w:tr w:rsidR="006C4C8D" w14:paraId="2FE067CF" w14:textId="77777777">
        <w:tc>
          <w:tcPr>
            <w:tcW w:w="0" w:type="auto"/>
          </w:tcPr>
          <w:p w14:paraId="7E221C16" w14:textId="77777777" w:rsidR="006C4C8D" w:rsidRDefault="00A86C1F">
            <w:r>
              <w:lastRenderedPageBreak/>
              <w:t>Študijski program se prilagaja aktualnim problemom mednarodnega prava, predvsem razvoju teorije, pravnih pravil in sodne prakse. Posebna pozornost bo namenjena obravnavi določenih vprašanj znotraj posamičnih tem, ki niso predmet poglobljene obravnave na prvi in drugi stopnji univerzitetnega študija. Temeljna poglavja znotraj katerih se bodo obravnavala posamična vprašanja so razvidna iz osnovne strukture predmeta:</w:t>
            </w:r>
          </w:p>
          <w:p w14:paraId="7D9C74E5" w14:textId="77777777" w:rsidR="006C4C8D" w:rsidRDefault="00A86C1F">
            <w:r>
              <w:t>1. Evolucija mednarodnega prava – mednarodno pravo v zgodovinski perspektivi.</w:t>
            </w:r>
          </w:p>
          <w:p w14:paraId="763D6D99" w14:textId="77777777" w:rsidR="006C4C8D" w:rsidRDefault="00A86C1F">
            <w:r>
              <w:t>1.1. Zgodovinski razvoj mednarodnega prava.</w:t>
            </w:r>
          </w:p>
          <w:p w14:paraId="2DA282E4" w14:textId="77777777" w:rsidR="006C4C8D" w:rsidRDefault="00A86C1F">
            <w:r>
              <w:t>1.2. Vpliv filozofskih mislecev in splošne pravne</w:t>
            </w:r>
          </w:p>
          <w:p w14:paraId="4E84257E" w14:textId="77777777" w:rsidR="006C4C8D" w:rsidRDefault="00A86C1F">
            <w:r>
              <w:t>teorije na razvoj mednarodnega prava.</w:t>
            </w:r>
          </w:p>
          <w:p w14:paraId="3E9F233F" w14:textId="77777777" w:rsidR="006C4C8D" w:rsidRDefault="00A86C1F">
            <w:r>
              <w:t>1.3. Kritičen pogled na poglavitne šole mednarodnega prava.</w:t>
            </w:r>
          </w:p>
          <w:p w14:paraId="7A1804DF" w14:textId="77777777" w:rsidR="006C4C8D" w:rsidRDefault="00A86C1F">
            <w:r>
              <w:t>1.4. Novi teoretični pristopi k razlagi in uporabi</w:t>
            </w:r>
          </w:p>
          <w:p w14:paraId="067FC8D0" w14:textId="77777777" w:rsidR="006C4C8D" w:rsidRDefault="00A86C1F">
            <w:r>
              <w:t>mednarodnega prava.</w:t>
            </w:r>
          </w:p>
          <w:p w14:paraId="6F479951" w14:textId="77777777" w:rsidR="006C4C8D" w:rsidRDefault="00A86C1F">
            <w:r>
              <w:t> </w:t>
            </w:r>
          </w:p>
          <w:p w14:paraId="28D1BCC0" w14:textId="77777777" w:rsidR="006C4C8D" w:rsidRDefault="00A86C1F">
            <w:r>
              <w:t>2. Sodobni pogledi na vire mednarodnega prava.</w:t>
            </w:r>
          </w:p>
          <w:p w14:paraId="1142E333" w14:textId="77777777" w:rsidR="006C4C8D" w:rsidRDefault="00A86C1F">
            <w:r>
              <w:t>2.1. Formalni viri in materialni viri mednarodnega prava.</w:t>
            </w:r>
          </w:p>
          <w:p w14:paraId="4E12E003" w14:textId="77777777" w:rsidR="006C4C8D" w:rsidRDefault="00A86C1F">
            <w:r>
              <w:t>2.2. Drugi viri.</w:t>
            </w:r>
          </w:p>
          <w:p w14:paraId="4528ADAE" w14:textId="77777777" w:rsidR="006C4C8D" w:rsidRDefault="00A86C1F">
            <w:r>
              <w:t>2.3. Oblikovanje norm običajnega mednarodnega prava v luči sodobnega pogleda na mednarodno pravo.</w:t>
            </w:r>
          </w:p>
          <w:p w14:paraId="449BB6D7" w14:textId="77777777" w:rsidR="006C4C8D" w:rsidRDefault="00A86C1F">
            <w:r>
              <w:t>2.4. Hierarhija norm mednarodnega prava.</w:t>
            </w:r>
          </w:p>
          <w:p w14:paraId="24C22CA6" w14:textId="77777777" w:rsidR="006C4C8D" w:rsidRDefault="00A86C1F">
            <w:r>
              <w:t> </w:t>
            </w:r>
          </w:p>
          <w:p w14:paraId="4837AE47" w14:textId="77777777" w:rsidR="006C4C8D" w:rsidRDefault="00A86C1F">
            <w:r>
              <w:t>3. Vprašanje suverenosti v luči sodobnega razvoja mednarodnega prava.</w:t>
            </w:r>
          </w:p>
          <w:p w14:paraId="1B25A8B2" w14:textId="77777777" w:rsidR="006C4C8D" w:rsidRDefault="00A86C1F">
            <w:r>
              <w:t>3.1. Suverenost kot pravno teoretičen pojem.</w:t>
            </w:r>
          </w:p>
          <w:p w14:paraId="0EC57269" w14:textId="77777777" w:rsidR="006C4C8D" w:rsidRDefault="00A86C1F">
            <w:r>
              <w:t>3.2. Postulat suverenosti kot komponenta</w:t>
            </w:r>
          </w:p>
          <w:p w14:paraId="47C2CD08" w14:textId="77777777" w:rsidR="006C4C8D" w:rsidRDefault="00A86C1F">
            <w:r>
              <w:t>mednarodnega prava.</w:t>
            </w:r>
          </w:p>
          <w:p w14:paraId="1740902A" w14:textId="77777777" w:rsidR="006C4C8D" w:rsidRDefault="00A86C1F">
            <w:r>
              <w:t>3.3. Institucionalne in materialnopravne omejitve suverenosti.</w:t>
            </w:r>
          </w:p>
          <w:p w14:paraId="0966E471" w14:textId="73C90D74" w:rsidR="00262B0B" w:rsidRDefault="00262B0B"/>
          <w:p w14:paraId="4DF43763" w14:textId="6A2369FF" w:rsidR="00262B0B" w:rsidRDefault="00262B0B">
            <w:r>
              <w:t>4. Sodobni pogledi na subjekte in objekte mednarodnega prava</w:t>
            </w:r>
          </w:p>
          <w:p w14:paraId="6BA63CF7" w14:textId="75FD92DD" w:rsidR="00262B0B" w:rsidRDefault="00262B0B">
            <w:r>
              <w:t>4.1. Subjekti (države, mednarodne organizacije, posamezniki, korporacije, mesta)</w:t>
            </w:r>
          </w:p>
          <w:p w14:paraId="59B21CA8" w14:textId="333FF13A" w:rsidR="00262B0B" w:rsidRDefault="00262B0B">
            <w:r>
              <w:t>4.2. Objekti (okolje, morje, vesolje, …)</w:t>
            </w:r>
          </w:p>
          <w:p w14:paraId="1EF811A5" w14:textId="77777777" w:rsidR="00806D5F" w:rsidRDefault="00806D5F"/>
          <w:p w14:paraId="2DC99C84" w14:textId="031601CC" w:rsidR="00806D5F" w:rsidRDefault="00262B0B">
            <w:r>
              <w:t>5</w:t>
            </w:r>
            <w:r w:rsidR="00806D5F">
              <w:t>. Odgovornost v mednarodnem pravu</w:t>
            </w:r>
          </w:p>
          <w:p w14:paraId="2A8648EC" w14:textId="4F42AFFF" w:rsidR="00806D5F" w:rsidRDefault="00262B0B">
            <w:r>
              <w:t>5</w:t>
            </w:r>
            <w:r w:rsidR="00806D5F">
              <w:t>.1. Členi o odgovornosti držav za mednarodno protipravna dejanja</w:t>
            </w:r>
          </w:p>
          <w:p w14:paraId="7CA85ED2" w14:textId="47D7FEEC" w:rsidR="00806D5F" w:rsidRDefault="00262B0B">
            <w:r>
              <w:t>5</w:t>
            </w:r>
            <w:r w:rsidR="00806D5F">
              <w:t>.2. Členi o odgovornosti mednarodnih organizacij za protipravna dejanja</w:t>
            </w:r>
          </w:p>
          <w:p w14:paraId="624A9D5E" w14:textId="445B6FB6" w:rsidR="00806D5F" w:rsidRDefault="00262B0B">
            <w:r>
              <w:t>5</w:t>
            </w:r>
            <w:r w:rsidR="00806D5F">
              <w:t xml:space="preserve">.3. </w:t>
            </w:r>
            <w:r w:rsidR="00806D5F" w:rsidRPr="00106947">
              <w:rPr>
                <w:i/>
              </w:rPr>
              <w:t>Erga omnes (partes)</w:t>
            </w:r>
            <w:r w:rsidR="00806D5F">
              <w:t xml:space="preserve"> obveznosti in </w:t>
            </w:r>
            <w:r w:rsidR="00806D5F" w:rsidRPr="00106947">
              <w:rPr>
                <w:i/>
              </w:rPr>
              <w:t>jus cogens</w:t>
            </w:r>
            <w:r w:rsidR="00806D5F">
              <w:t xml:space="preserve"> pravila v mednarodnem pravu</w:t>
            </w:r>
          </w:p>
          <w:p w14:paraId="6383FB62" w14:textId="02D97A01" w:rsidR="00806D5F" w:rsidRDefault="00262B0B">
            <w:r>
              <w:t>5</w:t>
            </w:r>
            <w:r w:rsidR="00806D5F">
              <w:t>.4. Meddržavno sodišče</w:t>
            </w:r>
          </w:p>
          <w:p w14:paraId="594FCF71" w14:textId="6C2A2684" w:rsidR="006C4C8D" w:rsidRDefault="006C4C8D"/>
          <w:p w14:paraId="65D61105" w14:textId="38306C73" w:rsidR="006C4C8D" w:rsidRDefault="00262B0B">
            <w:r>
              <w:t>6</w:t>
            </w:r>
            <w:r w:rsidR="00A86C1F">
              <w:t>. Ius ad bellum in ius in bello.</w:t>
            </w:r>
          </w:p>
          <w:p w14:paraId="6057C707" w14:textId="4C669A09" w:rsidR="006C4C8D" w:rsidRDefault="00262B0B">
            <w:r>
              <w:t>6</w:t>
            </w:r>
            <w:r w:rsidR="00A86C1F">
              <w:t>.1. Prepoved uporabe sile - mit ali resničnost?</w:t>
            </w:r>
          </w:p>
          <w:p w14:paraId="227B4C0F" w14:textId="1730214A" w:rsidR="006C4C8D" w:rsidRDefault="00262B0B">
            <w:r>
              <w:t>6</w:t>
            </w:r>
            <w:r w:rsidR="00A86C1F">
              <w:t>.2. Kritični pogledi na koncept vojne proti</w:t>
            </w:r>
          </w:p>
          <w:p w14:paraId="6F21A03B" w14:textId="77777777" w:rsidR="006C4C8D" w:rsidRDefault="00A86C1F">
            <w:r>
              <w:t>terorizmu.</w:t>
            </w:r>
          </w:p>
          <w:p w14:paraId="780CEDE4" w14:textId="2C79DB71" w:rsidR="006C4C8D" w:rsidRDefault="00262B0B">
            <w:r>
              <w:t>6</w:t>
            </w:r>
            <w:r w:rsidR="00A86C1F">
              <w:t>.3. Uporaba mednarodnega prava oboroženih spopadov v sodobnem asimetričnem bojevanju.</w:t>
            </w:r>
          </w:p>
          <w:p w14:paraId="230F4AC7" w14:textId="59E4436F" w:rsidR="006C4C8D" w:rsidRDefault="00262B0B">
            <w:r>
              <w:t>6</w:t>
            </w:r>
            <w:r w:rsidR="00A86C1F">
              <w:t>.4. Zaščita žrtev nemednarodnih oboroženih</w:t>
            </w:r>
          </w:p>
          <w:p w14:paraId="1CB46D04" w14:textId="77777777" w:rsidR="006C4C8D" w:rsidRDefault="00A86C1F">
            <w:r>
              <w:lastRenderedPageBreak/>
              <w:t>spopadov.</w:t>
            </w:r>
          </w:p>
          <w:p w14:paraId="50C6F92F" w14:textId="24FBDACF" w:rsidR="006C4C8D" w:rsidRDefault="00262B0B">
            <w:r>
              <w:t>6</w:t>
            </w:r>
            <w:r w:rsidR="00A86C1F">
              <w:t>.5. Uporaba modernih metod in sredstev bojevanja.</w:t>
            </w:r>
          </w:p>
          <w:p w14:paraId="7C526BE5" w14:textId="77777777" w:rsidR="006C4C8D" w:rsidRDefault="00A86C1F">
            <w:r>
              <w:t> </w:t>
            </w:r>
          </w:p>
          <w:p w14:paraId="010218A5" w14:textId="77777777" w:rsidR="006C4C8D" w:rsidRDefault="00A86C1F">
            <w:r>
              <w:t>Dodatne vsebine se bodo dodajale glede na</w:t>
            </w:r>
          </w:p>
          <w:p w14:paraId="48782D82" w14:textId="77777777" w:rsidR="006C4C8D" w:rsidRDefault="00A86C1F">
            <w:r>
              <w:t>dosežen pravni razvoj v času izvajanja predmeta .</w:t>
            </w:r>
          </w:p>
        </w:tc>
        <w:tc>
          <w:tcPr>
            <w:tcW w:w="0" w:type="auto"/>
          </w:tcPr>
          <w:p w14:paraId="4576BD94" w14:textId="77777777" w:rsidR="006C4C8D" w:rsidRDefault="00A86C1F">
            <w:r>
              <w:lastRenderedPageBreak/>
              <w:t>The study program is adjusted to address the topical problems from the abovementioned disciplines, specifically the development of doctrinal views, legal norms and case law. The focus of the course will be particular issues within the discussed topics that have not been discussed so far at the first and second study stage. The fundamental questions discussed are seen in the following structure of the course:</w:t>
            </w:r>
          </w:p>
          <w:p w14:paraId="7753A48A" w14:textId="77777777" w:rsidR="006C4C8D" w:rsidRDefault="00A86C1F">
            <w:r>
              <w:t>1. Evolution of international law – international law from the historical perspective.</w:t>
            </w:r>
          </w:p>
          <w:p w14:paraId="5EDC30CD" w14:textId="77777777" w:rsidR="006C4C8D" w:rsidRDefault="00A86C1F">
            <w:r>
              <w:t>1.1. Historical development of international law.</w:t>
            </w:r>
          </w:p>
          <w:p w14:paraId="40490D40" w14:textId="77777777" w:rsidR="006C4C8D" w:rsidRDefault="00A86C1F">
            <w:r>
              <w:t>1.2. Influence of philosophical minds and the general legal theory on the development of international law.</w:t>
            </w:r>
          </w:p>
          <w:p w14:paraId="4D8E35DA" w14:textId="77777777" w:rsidR="006C4C8D" w:rsidRDefault="00A86C1F">
            <w:r>
              <w:t>1.3. Critical view on key schools of international law.</w:t>
            </w:r>
          </w:p>
          <w:p w14:paraId="63B4D1B9" w14:textId="77777777" w:rsidR="006C4C8D" w:rsidRDefault="00A86C1F">
            <w:r>
              <w:t>1.4. New theoretical approaches to the interpretation and use of international law.</w:t>
            </w:r>
          </w:p>
          <w:p w14:paraId="2ADE84C5" w14:textId="77777777" w:rsidR="006C4C8D" w:rsidRDefault="00A86C1F">
            <w:r>
              <w:t> </w:t>
            </w:r>
          </w:p>
          <w:p w14:paraId="359835E2" w14:textId="77777777" w:rsidR="006C4C8D" w:rsidRDefault="00A86C1F">
            <w:r>
              <w:t>2. Contemporary views on sources of international law.</w:t>
            </w:r>
          </w:p>
          <w:p w14:paraId="2B580169" w14:textId="77777777" w:rsidR="006C4C8D" w:rsidRDefault="00A86C1F">
            <w:r>
              <w:t>2.1. Formal sources and material sources of international law.</w:t>
            </w:r>
          </w:p>
          <w:p w14:paraId="6A3AD89B" w14:textId="77777777" w:rsidR="006C4C8D" w:rsidRDefault="00A86C1F">
            <w:r>
              <w:t>2.2. Other sources.</w:t>
            </w:r>
          </w:p>
          <w:p w14:paraId="6E94ACBD" w14:textId="77777777" w:rsidR="006C4C8D" w:rsidRDefault="00A86C1F">
            <w:r>
              <w:t>2.3. The formation of norms of customary international law in the light of contemporary views on international law.</w:t>
            </w:r>
          </w:p>
          <w:p w14:paraId="58B3C738" w14:textId="77777777" w:rsidR="006C4C8D" w:rsidRDefault="00A86C1F">
            <w:r>
              <w:t>2.4. The hierarchy of international law norms.</w:t>
            </w:r>
          </w:p>
          <w:p w14:paraId="03EE933A" w14:textId="77777777" w:rsidR="006C4C8D" w:rsidRDefault="00A86C1F">
            <w:r>
              <w:t> </w:t>
            </w:r>
          </w:p>
          <w:p w14:paraId="7292D06A" w14:textId="77777777" w:rsidR="006C4C8D" w:rsidRDefault="00A86C1F">
            <w:r>
              <w:t>3. The question of sovereignty in light of the contemporary development of international law.</w:t>
            </w:r>
          </w:p>
          <w:p w14:paraId="05526321" w14:textId="77777777" w:rsidR="006C4C8D" w:rsidRDefault="00A86C1F">
            <w:r>
              <w:t>3.1. Sovereignty as a legal theoretical concept.</w:t>
            </w:r>
          </w:p>
          <w:p w14:paraId="44B19CC4" w14:textId="77777777" w:rsidR="006C4C8D" w:rsidRDefault="00A86C1F">
            <w:r>
              <w:t>3.2. Postulate of sovereignty as a component of international law.</w:t>
            </w:r>
          </w:p>
          <w:p w14:paraId="6CD7D262" w14:textId="67C6EDEA" w:rsidR="006C4C8D" w:rsidRDefault="00A86C1F">
            <w:r>
              <w:t>3.3. Institutional and substantive limitations to sovereignty.</w:t>
            </w:r>
          </w:p>
          <w:p w14:paraId="55A227D0" w14:textId="6D05F6BC" w:rsidR="00262B0B" w:rsidRDefault="00262B0B"/>
          <w:p w14:paraId="0ECE52C6" w14:textId="3A8DCB4E" w:rsidR="00262B0B" w:rsidRDefault="00262B0B">
            <w:r>
              <w:t>4. Contemporarz views on subjects and objects of international law</w:t>
            </w:r>
          </w:p>
          <w:p w14:paraId="6CBD3AB6" w14:textId="1E83DE0B" w:rsidR="00262B0B" w:rsidRDefault="00262B0B">
            <w:r>
              <w:t>4.1. Subjects (states, interantional organizations, individuals, coprotations, cities)</w:t>
            </w:r>
          </w:p>
          <w:p w14:paraId="43EA1B7F" w14:textId="0357027C" w:rsidR="00262B0B" w:rsidRDefault="00262B0B">
            <w:r>
              <w:t>4.2. Objects (environment, sea, outer space,…)</w:t>
            </w:r>
          </w:p>
          <w:p w14:paraId="2EAEE8DF" w14:textId="77777777" w:rsidR="00806D5F" w:rsidRDefault="00806D5F"/>
          <w:p w14:paraId="072882D0" w14:textId="18D78BB3" w:rsidR="00806D5F" w:rsidRDefault="00262B0B">
            <w:r>
              <w:t>5</w:t>
            </w:r>
            <w:r w:rsidR="00806D5F">
              <w:t>. Responsibility in international law</w:t>
            </w:r>
          </w:p>
          <w:p w14:paraId="382F2A33" w14:textId="323A497F" w:rsidR="00806D5F" w:rsidRDefault="00262B0B">
            <w:r>
              <w:t>5</w:t>
            </w:r>
            <w:r w:rsidR="00806D5F">
              <w:t>.1. Articles on Responsibility of States for Internationally Wrongful Acts</w:t>
            </w:r>
          </w:p>
          <w:p w14:paraId="0472A8B1" w14:textId="14E0255C" w:rsidR="00806D5F" w:rsidRDefault="00262B0B" w:rsidP="00806D5F">
            <w:r>
              <w:t>5</w:t>
            </w:r>
            <w:r w:rsidR="00806D5F">
              <w:t>.2. Articles on responsibility of international organizations for Internationally Wrongful Acts</w:t>
            </w:r>
          </w:p>
          <w:p w14:paraId="3DBE50B0" w14:textId="7605F563" w:rsidR="00806D5F" w:rsidRDefault="00262B0B">
            <w:r>
              <w:t>5</w:t>
            </w:r>
            <w:r w:rsidR="00806D5F">
              <w:t xml:space="preserve">.3. </w:t>
            </w:r>
            <w:r w:rsidR="00806D5F" w:rsidRPr="00106947">
              <w:rPr>
                <w:i/>
              </w:rPr>
              <w:t>Erga omnes (partes)</w:t>
            </w:r>
            <w:r w:rsidR="00806D5F">
              <w:t xml:space="preserve"> obligations and </w:t>
            </w:r>
            <w:r w:rsidR="00806D5F" w:rsidRPr="00106947">
              <w:rPr>
                <w:i/>
              </w:rPr>
              <w:t>jus cogens</w:t>
            </w:r>
            <w:r w:rsidR="00806D5F">
              <w:t xml:space="preserve"> rules in international law</w:t>
            </w:r>
          </w:p>
          <w:p w14:paraId="492A473B" w14:textId="5DA3D54B" w:rsidR="00806D5F" w:rsidRDefault="00262B0B">
            <w:r>
              <w:t>5</w:t>
            </w:r>
            <w:r w:rsidR="00806D5F">
              <w:t xml:space="preserve">.4. International Court of Justice </w:t>
            </w:r>
          </w:p>
          <w:p w14:paraId="75FB6D5C" w14:textId="713A81AC" w:rsidR="006C4C8D" w:rsidRDefault="006C4C8D"/>
          <w:p w14:paraId="499F54D6" w14:textId="77777777" w:rsidR="006C4C8D" w:rsidRDefault="00A86C1F">
            <w:r>
              <w:t> </w:t>
            </w:r>
          </w:p>
          <w:p w14:paraId="00867DAC" w14:textId="1104064E" w:rsidR="006C4C8D" w:rsidRDefault="00262B0B">
            <w:r>
              <w:t>6</w:t>
            </w:r>
            <w:r w:rsidR="00A86C1F">
              <w:t xml:space="preserve">. </w:t>
            </w:r>
            <w:r w:rsidR="00A86C1F">
              <w:rPr>
                <w:i/>
              </w:rPr>
              <w:t>Ius ad bellum</w:t>
            </w:r>
            <w:r w:rsidR="00A86C1F">
              <w:t xml:space="preserve"> and i</w:t>
            </w:r>
            <w:r w:rsidR="00A86C1F">
              <w:rPr>
                <w:i/>
              </w:rPr>
              <w:t>us in bello</w:t>
            </w:r>
            <w:r w:rsidR="00A86C1F">
              <w:t>.</w:t>
            </w:r>
          </w:p>
          <w:p w14:paraId="428FE07D" w14:textId="01225D3D" w:rsidR="006C4C8D" w:rsidRDefault="00262B0B">
            <w:r>
              <w:t>6</w:t>
            </w:r>
            <w:r w:rsidR="00A86C1F">
              <w:t>.1. Prohibition of the use of force – myth or reality?</w:t>
            </w:r>
          </w:p>
          <w:p w14:paraId="24A3ED4F" w14:textId="1E5FA74F" w:rsidR="006C4C8D" w:rsidRDefault="00262B0B">
            <w:r>
              <w:t>6</w:t>
            </w:r>
            <w:r w:rsidR="00A86C1F">
              <w:t>.2. Critical views on the concept of war against terrorism.</w:t>
            </w:r>
          </w:p>
          <w:p w14:paraId="3FD3C318" w14:textId="56A23360" w:rsidR="006C4C8D" w:rsidRDefault="00262B0B">
            <w:r>
              <w:t>6</w:t>
            </w:r>
            <w:r w:rsidR="00A86C1F">
              <w:t>.3. Implementation of law of armed conflicts in contemporary asymmetrical warfare.</w:t>
            </w:r>
          </w:p>
          <w:p w14:paraId="39F04FED" w14:textId="2799DFA0" w:rsidR="006C4C8D" w:rsidRDefault="00262B0B">
            <w:r>
              <w:lastRenderedPageBreak/>
              <w:t>6</w:t>
            </w:r>
            <w:r w:rsidR="00A86C1F">
              <w:t>.4. Protection of victims of non international armed conflict.</w:t>
            </w:r>
          </w:p>
          <w:p w14:paraId="533719A1" w14:textId="5524D4F1" w:rsidR="006C4C8D" w:rsidRDefault="00262B0B">
            <w:r>
              <w:t>6</w:t>
            </w:r>
            <w:r w:rsidR="00A86C1F">
              <w:t>.5. Use of modern methods and means of warfare.</w:t>
            </w:r>
          </w:p>
          <w:p w14:paraId="03DF09DD" w14:textId="77777777" w:rsidR="006C4C8D" w:rsidRDefault="00A86C1F">
            <w:r>
              <w:t> </w:t>
            </w:r>
          </w:p>
          <w:p w14:paraId="1E8A04A1" w14:textId="77777777" w:rsidR="006C4C8D" w:rsidRDefault="00A86C1F">
            <w:r>
              <w:t>Additional topics will be added according to the legal developments in the course of the lectures.</w:t>
            </w:r>
          </w:p>
        </w:tc>
      </w:tr>
    </w:tbl>
    <w:p w14:paraId="4EFB4970" w14:textId="77777777" w:rsidR="006C4C8D" w:rsidRDefault="006C4C8D"/>
    <w:tbl>
      <w:tblPr>
        <w:tblStyle w:val="DefaultTable"/>
        <w:tblW w:w="5000" w:type="pct"/>
        <w:tblLook w:val="04A0" w:firstRow="1" w:lastRow="0" w:firstColumn="1" w:lastColumn="0" w:noHBand="0" w:noVBand="1"/>
      </w:tblPr>
      <w:tblGrid>
        <w:gridCol w:w="9638"/>
      </w:tblGrid>
      <w:tr w:rsidR="006C4C8D" w14:paraId="5C0DC199" w14:textId="77777777" w:rsidTr="00D94EC2">
        <w:trPr>
          <w:cnfStyle w:val="100000000000" w:firstRow="1" w:lastRow="0" w:firstColumn="0" w:lastColumn="0" w:oddVBand="0" w:evenVBand="0" w:oddHBand="0" w:evenHBand="0" w:firstRowFirstColumn="0" w:firstRowLastColumn="0" w:lastRowFirstColumn="0" w:lastRowLastColumn="0"/>
        </w:trPr>
        <w:tc>
          <w:tcPr>
            <w:tcW w:w="0" w:type="auto"/>
          </w:tcPr>
          <w:p w14:paraId="193D3458" w14:textId="77777777" w:rsidR="006C4C8D" w:rsidRDefault="00A86C1F">
            <w:r>
              <w:t>Temeljna literatura in viri/Readings:</w:t>
            </w:r>
          </w:p>
        </w:tc>
      </w:tr>
      <w:tr w:rsidR="006C4C8D" w14:paraId="11952056" w14:textId="77777777">
        <w:tc>
          <w:tcPr>
            <w:tcW w:w="0" w:type="auto"/>
          </w:tcPr>
          <w:p w14:paraId="16C8FC2D" w14:textId="77777777" w:rsidR="006C4C8D" w:rsidRPr="00806D5F" w:rsidRDefault="00A86C1F">
            <w:r w:rsidRPr="00806D5F">
              <w:t>Danilo Türk: Temelji mednarodnega prava, 2., pregledana in dopolnjena izdaja, IUS SOFTWARE, GV Založba, Ljubljana, 2015.</w:t>
            </w:r>
          </w:p>
          <w:p w14:paraId="377F0BE9" w14:textId="77777777" w:rsidR="00806D5F" w:rsidRPr="00106947" w:rsidRDefault="00806D5F" w:rsidP="00806D5F">
            <w:pPr>
              <w:pStyle w:val="literatura"/>
              <w:numPr>
                <w:ilvl w:val="0"/>
                <w:numId w:val="0"/>
              </w:numPr>
              <w:tabs>
                <w:tab w:val="clear" w:pos="284"/>
                <w:tab w:val="left" w:pos="0"/>
              </w:tabs>
              <w:rPr>
                <w:rFonts w:ascii="Garamond" w:hAnsi="Garamond" w:cs="Calibri"/>
              </w:rPr>
            </w:pPr>
            <w:r w:rsidRPr="00D94EC2">
              <w:rPr>
                <w:rFonts w:ascii="Garamond" w:hAnsi="Garamond"/>
              </w:rPr>
              <w:t>SANCIN, V</w:t>
            </w:r>
            <w:r w:rsidRPr="00106947">
              <w:rPr>
                <w:rFonts w:ascii="Garamond" w:hAnsi="Garamond" w:cs="Calibri"/>
              </w:rPr>
              <w:t>., VEBER, M. T.: Osnove sistema Združenih narodov, Založba Univerze v Ljubljani, Ljubljana 2025.</w:t>
            </w:r>
          </w:p>
          <w:p w14:paraId="1FF8C103" w14:textId="77777777" w:rsidR="00806D5F" w:rsidRPr="00106947" w:rsidRDefault="00806D5F" w:rsidP="00106947">
            <w:pPr>
              <w:pStyle w:val="literatura"/>
              <w:numPr>
                <w:ilvl w:val="0"/>
                <w:numId w:val="0"/>
              </w:numPr>
              <w:tabs>
                <w:tab w:val="clear" w:pos="284"/>
                <w:tab w:val="left" w:pos="0"/>
              </w:tabs>
              <w:rPr>
                <w:rFonts w:cs="Calibri"/>
                <w:lang w:val="en-GB"/>
              </w:rPr>
            </w:pPr>
            <w:r w:rsidRPr="00106947">
              <w:rPr>
                <w:rFonts w:ascii="Garamond" w:hAnsi="Garamond" w:cs="Calibri"/>
                <w:lang w:val="en-GB"/>
              </w:rPr>
              <w:t>SHAW, M.: International Law, 9th Edition, Cambridge University Press, Cambridge 2021.</w:t>
            </w:r>
          </w:p>
          <w:p w14:paraId="251161FD" w14:textId="77777777" w:rsidR="006C4C8D" w:rsidRPr="00806D5F" w:rsidRDefault="00A86C1F">
            <w:r w:rsidRPr="00806D5F">
              <w:t>SANCIN, V.: Mednarodno pravo v hierarhiji pravnih virov EU in njenih članic, Uradni list Republike Slovenije, Ljubljana, 2009.</w:t>
            </w:r>
          </w:p>
          <w:p w14:paraId="26E8EED8" w14:textId="0109F6E6" w:rsidR="006C4C8D" w:rsidRPr="00806D5F" w:rsidRDefault="00A86C1F">
            <w:r w:rsidRPr="00DD2079">
              <w:t>BROWNLIE, I. in CRAWFORD, J.: Brownlie's Principles of Public International Law, Oxford University Press, Oxford, 201</w:t>
            </w:r>
            <w:r w:rsidR="00806D5F">
              <w:t>9</w:t>
            </w:r>
            <w:r w:rsidRPr="00806D5F">
              <w:t>.</w:t>
            </w:r>
          </w:p>
          <w:p w14:paraId="511F9654" w14:textId="77777777" w:rsidR="006C4C8D" w:rsidRPr="00806D5F" w:rsidRDefault="00A86C1F">
            <w:r w:rsidRPr="00806D5F">
              <w:t>DAILLIER, P. in PELLET, A.: Droit international public, 8e édition, L.G.D.J., 2009.</w:t>
            </w:r>
          </w:p>
          <w:p w14:paraId="2B515EE4" w14:textId="77777777" w:rsidR="006C4C8D" w:rsidRPr="00806D5F" w:rsidRDefault="00A86C1F">
            <w:r w:rsidRPr="00806D5F">
              <w:t>KELSEN, H.: Čista teorija prava: uvod v problematiko pravne znanosti, Cankarjeva založba, Ljubljana, 2005.</w:t>
            </w:r>
          </w:p>
          <w:p w14:paraId="6BB21A41" w14:textId="77777777" w:rsidR="006C4C8D" w:rsidRDefault="00A86C1F">
            <w:r w:rsidRPr="00806D5F">
              <w:t>KOSKENNIEMI, M.: Blagi prosvetitelj narodov: vzpon in padec mednarodnega prava 1870–1960,</w:t>
            </w:r>
            <w:r w:rsidRPr="00806D5F">
              <w:rPr>
                <w:b/>
              </w:rPr>
              <w:t xml:space="preserve"> </w:t>
            </w:r>
            <w:r w:rsidRPr="00806D5F">
              <w:t>Zbirka Mednarodno pravo, Založba Fakulteta za družbene vede in Ministrstvo za zunanje zadeve, Ljubljana, 2012.</w:t>
            </w:r>
          </w:p>
          <w:p w14:paraId="2AA6301E" w14:textId="207605AA" w:rsidR="00806D5F" w:rsidRDefault="00806D5F">
            <w:pPr>
              <w:rPr>
                <w:rFonts w:eastAsia="MS Mincho" w:cs="Calibri"/>
                <w:bCs/>
                <w:szCs w:val="22"/>
              </w:rPr>
            </w:pPr>
            <w:r w:rsidRPr="00E22B27">
              <w:rPr>
                <w:rFonts w:eastAsia="MS Mincho" w:cs="Calibri"/>
                <w:bCs/>
                <w:szCs w:val="22"/>
              </w:rPr>
              <w:t xml:space="preserve">TEKAVČIČ VEBER, M.: Obveznosti </w:t>
            </w:r>
            <w:r w:rsidRPr="00E22B27">
              <w:rPr>
                <w:rFonts w:eastAsia="MS Mincho" w:cs="Calibri"/>
                <w:bCs/>
                <w:i/>
                <w:iCs/>
                <w:szCs w:val="22"/>
              </w:rPr>
              <w:t>erga omnes (partes)</w:t>
            </w:r>
            <w:r w:rsidRPr="00E22B27">
              <w:rPr>
                <w:rFonts w:eastAsia="MS Mincho" w:cs="Calibri"/>
                <w:bCs/>
                <w:szCs w:val="22"/>
              </w:rPr>
              <w:t xml:space="preserve"> v sodni praksi Meddržavnega sodišča: zadeva Barcelona Traction kot vodilo razvoja mednarodnega prava. Pravnik: revija za pravno teorijo in prakso. 2022, letn. 77, št. 3/4, str. 153-180</w:t>
            </w:r>
            <w:r>
              <w:rPr>
                <w:rFonts w:eastAsia="MS Mincho" w:cs="Calibri"/>
                <w:bCs/>
                <w:szCs w:val="22"/>
              </w:rPr>
              <w:t>.</w:t>
            </w:r>
          </w:p>
          <w:p w14:paraId="6AC409FF" w14:textId="021D8172" w:rsidR="00262B0B" w:rsidRDefault="00262B0B">
            <w:r w:rsidRPr="00106947">
              <w:t>KOVIČ DINE, Maša. Speaking for the rights of nature. V: BREARS, Robert C. (ur.), LINDLEY, Jade (ur.). The Palgrave handbook of environmental policy and law. Cham: Palgrave Macmillan, cop. 2025.</w:t>
            </w:r>
          </w:p>
          <w:p w14:paraId="40FB9B7A" w14:textId="5DE57D13" w:rsidR="00262B0B" w:rsidRDefault="00262B0B">
            <w:pPr>
              <w:rPr>
                <w:rFonts w:eastAsia="Times New Roman" w:cs="Calibri"/>
                <w:iCs/>
                <w:szCs w:val="22"/>
              </w:rPr>
            </w:pPr>
            <w:r>
              <w:rPr>
                <w:rFonts w:eastAsia="Times New Roman" w:cs="Calibri"/>
                <w:iCs/>
                <w:szCs w:val="22"/>
              </w:rPr>
              <w:t>KOVIČ DINE</w:t>
            </w:r>
            <w:r w:rsidRPr="00562DF4">
              <w:rPr>
                <w:rFonts w:eastAsia="Times New Roman" w:cs="Calibri"/>
                <w:iCs/>
                <w:szCs w:val="22"/>
              </w:rPr>
              <w:t>, M.</w:t>
            </w:r>
            <w:r>
              <w:rPr>
                <w:rFonts w:eastAsia="Times New Roman" w:cs="Calibri"/>
                <w:iCs/>
                <w:szCs w:val="22"/>
              </w:rPr>
              <w:t>: Right to development</w:t>
            </w:r>
            <w:r w:rsidRPr="00562DF4">
              <w:rPr>
                <w:rFonts w:eastAsia="Times New Roman" w:cs="Calibri"/>
                <w:iCs/>
                <w:szCs w:val="22"/>
              </w:rPr>
              <w:t xml:space="preserve">: driver for extraterritorial application of economic, social and cultural rights. V: </w:t>
            </w:r>
            <w:r>
              <w:rPr>
                <w:rFonts w:eastAsia="Times New Roman" w:cs="Calibri"/>
                <w:iCs/>
                <w:szCs w:val="22"/>
              </w:rPr>
              <w:t>Lorenzmeier,</w:t>
            </w:r>
            <w:r w:rsidRPr="00562DF4">
              <w:rPr>
                <w:rFonts w:eastAsia="Times New Roman" w:cs="Calibri"/>
                <w:iCs/>
                <w:szCs w:val="22"/>
              </w:rPr>
              <w:t xml:space="preserve"> S</w:t>
            </w:r>
            <w:r>
              <w:rPr>
                <w:rFonts w:eastAsia="Times New Roman" w:cs="Calibri"/>
                <w:iCs/>
                <w:szCs w:val="22"/>
              </w:rPr>
              <w:t>.,</w:t>
            </w:r>
            <w:r w:rsidRPr="00562DF4">
              <w:rPr>
                <w:rFonts w:eastAsia="Times New Roman" w:cs="Calibri"/>
                <w:iCs/>
                <w:szCs w:val="22"/>
              </w:rPr>
              <w:t xml:space="preserve"> </w:t>
            </w:r>
            <w:r>
              <w:rPr>
                <w:rFonts w:eastAsia="Times New Roman" w:cs="Calibri"/>
                <w:iCs/>
                <w:szCs w:val="22"/>
              </w:rPr>
              <w:t>Sancin</w:t>
            </w:r>
            <w:r w:rsidRPr="00562DF4">
              <w:rPr>
                <w:rFonts w:eastAsia="Times New Roman" w:cs="Calibri"/>
                <w:iCs/>
                <w:szCs w:val="22"/>
              </w:rPr>
              <w:t>, V</w:t>
            </w:r>
            <w:r>
              <w:rPr>
                <w:rFonts w:eastAsia="Times New Roman" w:cs="Calibri"/>
                <w:iCs/>
                <w:szCs w:val="22"/>
              </w:rPr>
              <w:t>. (ur.):</w:t>
            </w:r>
            <w:r w:rsidRPr="00562DF4">
              <w:rPr>
                <w:rFonts w:eastAsia="Times New Roman" w:cs="Calibri"/>
                <w:iCs/>
                <w:szCs w:val="22"/>
              </w:rPr>
              <w:t> Contemporary issues of human rights protection in international and national settings. 1. Auf</w:t>
            </w:r>
            <w:r>
              <w:rPr>
                <w:rFonts w:eastAsia="Times New Roman" w:cs="Calibri"/>
                <w:iCs/>
                <w:szCs w:val="22"/>
              </w:rPr>
              <w:t>l. Baden-Baden: Nomos,</w:t>
            </w:r>
            <w:r w:rsidRPr="00562DF4">
              <w:rPr>
                <w:rFonts w:eastAsia="Times New Roman" w:cs="Calibri"/>
                <w:iCs/>
                <w:szCs w:val="22"/>
              </w:rPr>
              <w:t xml:space="preserve"> Hart, </w:t>
            </w:r>
            <w:r>
              <w:rPr>
                <w:rFonts w:eastAsia="Times New Roman" w:cs="Calibri"/>
                <w:iCs/>
                <w:szCs w:val="22"/>
              </w:rPr>
              <w:t>(</w:t>
            </w:r>
            <w:r w:rsidRPr="00562DF4">
              <w:rPr>
                <w:rFonts w:eastAsia="Times New Roman" w:cs="Calibri"/>
                <w:iCs/>
                <w:szCs w:val="22"/>
              </w:rPr>
              <w:t>2018</w:t>
            </w:r>
            <w:r>
              <w:rPr>
                <w:rFonts w:eastAsia="Times New Roman" w:cs="Calibri"/>
                <w:iCs/>
                <w:szCs w:val="22"/>
              </w:rPr>
              <w:t>).</w:t>
            </w:r>
          </w:p>
          <w:p w14:paraId="47FC2256" w14:textId="2EBE0E51" w:rsidR="00262B0B" w:rsidRPr="00106947" w:rsidRDefault="00262B0B">
            <w:r w:rsidRPr="006E44B6">
              <w:rPr>
                <w:rFonts w:eastAsia="Times New Roman" w:cs="Calibri"/>
                <w:iCs/>
                <w:szCs w:val="22"/>
              </w:rPr>
              <w:t>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Testing the climate readiness of the international regime on</w:t>
            </w:r>
            <w:r w:rsidRPr="006E44B6">
              <w:rPr>
                <w:rFonts w:eastAsia="Times New Roman" w:cs="Calibri"/>
                <w:iCs/>
                <w:szCs w:val="22"/>
              </w:rPr>
              <w:t xml:space="preserve"> terrestrial protected areas?. v</w:t>
            </w:r>
            <w:r w:rsidRPr="006C1F41">
              <w:rPr>
                <w:rFonts w:eastAsia="Times New Roman" w:cs="Calibri"/>
                <w:iCs/>
                <w:szCs w:val="22"/>
              </w:rPr>
              <w:t>: MALJEAN-DUBOIS, Sandrine (ur.), PEEL, Jacqueline (ur.). Climate change and the testing of international law = Le droit international au défi des changements climatiques. Leiden; Boston: Brill Nijhoff, 2023.</w:t>
            </w:r>
          </w:p>
          <w:p w14:paraId="4490B628" w14:textId="77777777" w:rsidR="00806D5F" w:rsidRDefault="00806D5F">
            <w:pPr>
              <w:rPr>
                <w:rFonts w:eastAsia="MS Mincho" w:cs="Calibri"/>
                <w:bCs/>
                <w:szCs w:val="22"/>
              </w:rPr>
            </w:pPr>
            <w:r w:rsidRPr="00E22B27">
              <w:rPr>
                <w:rFonts w:eastAsia="MS Mincho" w:cs="Calibri"/>
                <w:bCs/>
                <w:szCs w:val="22"/>
              </w:rPr>
              <w:t>TEKAVČIČ VEBER, M.: Palestinsko-izraelski konflikt: mednarodno pravo - quo vadis?. Teorija in praksa : revija</w:t>
            </w:r>
            <w:r w:rsidRPr="00806D5F">
              <w:rPr>
                <w:rFonts w:eastAsia="MS Mincho" w:cs="Calibri"/>
                <w:bCs/>
                <w:szCs w:val="22"/>
              </w:rPr>
              <w:t xml:space="preserve"> za družbena vprašanja, 2024, letn. 61, št. 1, str. 7-40</w:t>
            </w:r>
            <w:r>
              <w:rPr>
                <w:rFonts w:eastAsia="MS Mincho" w:cs="Calibri"/>
                <w:bCs/>
                <w:szCs w:val="22"/>
              </w:rPr>
              <w:t>.</w:t>
            </w:r>
          </w:p>
          <w:p w14:paraId="7EA8EC67" w14:textId="77777777" w:rsidR="00806D5F" w:rsidRPr="00806D5F" w:rsidRDefault="00806D5F">
            <w:r w:rsidRPr="00E22B27">
              <w:rPr>
                <w:rFonts w:eastAsia="MS Mincho" w:cs="Calibri"/>
                <w:bCs/>
                <w:szCs w:val="22"/>
              </w:rPr>
              <w:t>KOROŠEC, T., TEKAVČIČ VEBER, M.: Pravica do samoobrambe zoper nedržavne akterje v luči boja proti terorizmu. Zbornik znanstvenih razprav, 2016, letn. 76, str. 41-68</w:t>
            </w:r>
            <w:r>
              <w:rPr>
                <w:rFonts w:eastAsia="MS Mincho" w:cs="Calibri"/>
                <w:bCs/>
                <w:szCs w:val="22"/>
              </w:rPr>
              <w:t>.</w:t>
            </w:r>
          </w:p>
          <w:p w14:paraId="31821D63" w14:textId="77777777" w:rsidR="006C4C8D" w:rsidRDefault="00A86C1F">
            <w:r w:rsidRPr="00806D5F">
              <w:t>SANCIN, V., ŠVARC</w:t>
            </w:r>
            <w:r>
              <w:t>, D., AMBROŽ, M.: Mednarodno pravo oboroženih spopadov, Poveljstvo za doktrino, razvoj, izobraževanje in usposabljanje, 2009.</w:t>
            </w:r>
          </w:p>
          <w:p w14:paraId="67AE1D14" w14:textId="77777777" w:rsidR="006C4C8D" w:rsidRDefault="00A86C1F">
            <w:r>
              <w:t>SANCIN, V. (ur.): Lokalni zločinci-univerzalni zločini: Odgovornost zaščititi, GV založba, Ljubljana 2010.</w:t>
            </w:r>
          </w:p>
          <w:p w14:paraId="1D9E785C" w14:textId="77777777" w:rsidR="006C4C8D" w:rsidRDefault="00A86C1F">
            <w:r>
              <w:t>SANCIN, V. in KOVIČ DINE, M. (ur.): Responsibility to Protect in Theory and Practice, GV založba, Ljubljana, 2013.</w:t>
            </w:r>
          </w:p>
          <w:p w14:paraId="2E735C9A" w14:textId="454E8400" w:rsidR="006C4C8D" w:rsidRDefault="00A86C1F">
            <w:r>
              <w:t>THIRLWAY, H.: Sources of International Law, Oxford University Press, Oxford, 201</w:t>
            </w:r>
            <w:r w:rsidR="00806D5F">
              <w:t>9</w:t>
            </w:r>
            <w:r>
              <w:t>.</w:t>
            </w:r>
          </w:p>
          <w:p w14:paraId="226C2BAC" w14:textId="2AD42B65" w:rsidR="00262B0B" w:rsidRDefault="00262B0B">
            <w:r w:rsidRPr="006E44B6">
              <w:rPr>
                <w:rFonts w:eastAsia="Times New Roman" w:cs="Calibri"/>
                <w:iCs/>
                <w:szCs w:val="22"/>
              </w:rPr>
              <w:t>SANCIN, V., 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Strukturna diskriminacija v mednarodnem </w:t>
            </w:r>
            <w:r w:rsidRPr="006E44B6">
              <w:rPr>
                <w:rFonts w:eastAsia="Times New Roman" w:cs="Calibri"/>
                <w:iCs/>
                <w:szCs w:val="22"/>
              </w:rPr>
              <w:t>pravu in pravu Evropske unije. v</w:t>
            </w:r>
            <w:r w:rsidRPr="006C1F41">
              <w:rPr>
                <w:rFonts w:eastAsia="Times New Roman" w:cs="Calibri"/>
                <w:iCs/>
                <w:szCs w:val="22"/>
              </w:rPr>
              <w:t>: ŠUMI, Irena (ur.), UREK, Mojca (ur.). Od dehumanizacije do diskriminacije : vztrajne socialne problematike v Sloveniji. V Ljubljani: Založba Univerze, 2024.</w:t>
            </w:r>
            <w:r>
              <w:rPr>
                <w:rFonts w:ascii="Open Sans" w:hAnsi="Open Sans" w:cs="Open Sans"/>
                <w:color w:val="111111"/>
                <w:spacing w:val="-4"/>
                <w:sz w:val="25"/>
                <w:szCs w:val="25"/>
                <w:shd w:val="clear" w:color="auto" w:fill="FFFFFF"/>
              </w:rPr>
              <w:t> </w:t>
            </w:r>
          </w:p>
          <w:p w14:paraId="1AB44A5A" w14:textId="77777777" w:rsidR="006C4C8D" w:rsidRDefault="00A86C1F">
            <w:r>
              <w:t>Nabor literature se vsako leto dopolni z aktualnimi deli s področja problemov, ki se obravnavajo.</w:t>
            </w:r>
          </w:p>
        </w:tc>
      </w:tr>
    </w:tbl>
    <w:p w14:paraId="21063B37" w14:textId="77777777" w:rsidR="006C4C8D" w:rsidRDefault="006C4C8D"/>
    <w:tbl>
      <w:tblPr>
        <w:tblStyle w:val="DefaultTable"/>
        <w:tblW w:w="5000" w:type="pct"/>
        <w:tblLook w:val="04A0" w:firstRow="1" w:lastRow="0" w:firstColumn="1" w:lastColumn="0" w:noHBand="0" w:noVBand="1"/>
      </w:tblPr>
      <w:tblGrid>
        <w:gridCol w:w="4910"/>
        <w:gridCol w:w="4728"/>
      </w:tblGrid>
      <w:tr w:rsidR="006C4C8D" w14:paraId="5596D95C"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071A7AC3" w14:textId="77777777" w:rsidR="006C4C8D" w:rsidRDefault="00A86C1F">
            <w:r>
              <w:t>Cilji in kompetence:</w:t>
            </w:r>
          </w:p>
        </w:tc>
        <w:tc>
          <w:tcPr>
            <w:tcW w:w="0" w:type="pct"/>
          </w:tcPr>
          <w:p w14:paraId="1DE42CC9" w14:textId="77777777" w:rsidR="006C4C8D" w:rsidRDefault="00A86C1F">
            <w:r>
              <w:t>Objectives and competences:</w:t>
            </w:r>
          </w:p>
        </w:tc>
      </w:tr>
      <w:tr w:rsidR="006C4C8D" w14:paraId="5858E97B" w14:textId="77777777" w:rsidTr="00D94EC2">
        <w:tc>
          <w:tcPr>
            <w:tcW w:w="0" w:type="auto"/>
          </w:tcPr>
          <w:p w14:paraId="171D7D0F" w14:textId="77777777" w:rsidR="006C4C8D" w:rsidRDefault="00A86C1F">
            <w:r>
              <w:t xml:space="preserve">Cilj predmeta je poglobljen študij izbranih poglavij mednarodnega prava. Posamezni primeri se obravnavajo multidisciplinarno. Študent pridobi poglobljeno teoretično znanje nekaterih teoretično in praktično najzahtevnejših vprašanj mednarodnega prava. Na njihovi podlagi pridobi sposobnost znanstvenega analiziranja problemov, vrednotenja različnih teoretičnih izhodišč, uporabe primerjalno pravne metode, kritičnega analiziranja prakse držav in </w:t>
            </w:r>
            <w:r>
              <w:lastRenderedPageBreak/>
              <w:t>mednarodne judikature ter pisnega oblikovanja zahtevnejše pravne argumentacije.</w:t>
            </w:r>
          </w:p>
        </w:tc>
        <w:tc>
          <w:tcPr>
            <w:tcW w:w="0" w:type="auto"/>
          </w:tcPr>
          <w:p w14:paraId="61536BBC" w14:textId="77777777" w:rsidR="006C4C8D" w:rsidRDefault="00A86C1F">
            <w:r>
              <w:lastRenderedPageBreak/>
              <w:t xml:space="preserve">The objective of the course is a detailed study of the selected chapters of international law. Individual issues will be discussed in a multidisciplinary manner. The student will receive a thorough theoretical knowledge of some of the theoretically and practically most difficult issues of international law. The student will gain the skills of scientific analysis of problems, evaluation of different theoretical starting points, use of the comparative </w:t>
            </w:r>
            <w:r>
              <w:lastRenderedPageBreak/>
              <w:t>legal methods, critical analysis of state practice and international jurisprudence, and drafting of complex legal argumentation.</w:t>
            </w:r>
          </w:p>
        </w:tc>
      </w:tr>
    </w:tbl>
    <w:p w14:paraId="6601F9E2" w14:textId="77777777" w:rsidR="006C4C8D" w:rsidRDefault="006C4C8D"/>
    <w:tbl>
      <w:tblPr>
        <w:tblStyle w:val="DefaultTable"/>
        <w:tblW w:w="5000" w:type="pct"/>
        <w:tblLook w:val="04A0" w:firstRow="1" w:lastRow="0" w:firstColumn="1" w:lastColumn="0" w:noHBand="0" w:noVBand="1"/>
      </w:tblPr>
      <w:tblGrid>
        <w:gridCol w:w="4792"/>
        <w:gridCol w:w="4846"/>
      </w:tblGrid>
      <w:tr w:rsidR="006C4C8D" w14:paraId="036940D4"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74DC4A03" w14:textId="77777777" w:rsidR="006C4C8D" w:rsidRDefault="00A86C1F">
            <w:r>
              <w:t>Predvideni študijski rezultati:</w:t>
            </w:r>
          </w:p>
        </w:tc>
        <w:tc>
          <w:tcPr>
            <w:tcW w:w="0" w:type="pct"/>
          </w:tcPr>
          <w:p w14:paraId="4210390B" w14:textId="77777777" w:rsidR="006C4C8D" w:rsidRDefault="00A86C1F">
            <w:r>
              <w:t>Intended learning outcomes:</w:t>
            </w:r>
          </w:p>
        </w:tc>
      </w:tr>
      <w:tr w:rsidR="006C4C8D" w14:paraId="3633420B" w14:textId="77777777" w:rsidTr="00D94EC2">
        <w:tc>
          <w:tcPr>
            <w:tcW w:w="0" w:type="auto"/>
          </w:tcPr>
          <w:p w14:paraId="77E8B2B8" w14:textId="77777777" w:rsidR="006C4C8D" w:rsidRDefault="00A86C1F">
            <w:r>
              <w:t>Znanje in razumevanje:</w:t>
            </w:r>
          </w:p>
          <w:p w14:paraId="351D3568" w14:textId="77777777" w:rsidR="006C4C8D" w:rsidRDefault="00A86C1F">
            <w:r>
              <w:t>Študent pridobi sposobnost znanstvene analize problemov z navedenih pravnih področij, vrednotenja različnih teoretičnih stališč, poglobljene analitične razlage odločitev sodišč in drugih nadzornih organov ter pisnega oblikovanja zahtevnejše pravne argumentacije.</w:t>
            </w:r>
          </w:p>
        </w:tc>
        <w:tc>
          <w:tcPr>
            <w:tcW w:w="0" w:type="auto"/>
          </w:tcPr>
          <w:p w14:paraId="3C96944C" w14:textId="77777777" w:rsidR="006C4C8D" w:rsidRDefault="00A86C1F">
            <w:r>
              <w:t>Knowledge and understanding:</w:t>
            </w:r>
          </w:p>
          <w:p w14:paraId="77C40651" w14:textId="77777777" w:rsidR="006C4C8D" w:rsidRDefault="00A86C1F">
            <w:r>
              <w:t>The student will gain the skills of scientific analysis of problems from the discussed legal fields, evaluation of various theoretical positions, thorough analytical interpretation of decisions of courts and other monitoring bodies, and drafting of complex legal argumentation.</w:t>
            </w:r>
          </w:p>
        </w:tc>
      </w:tr>
    </w:tbl>
    <w:p w14:paraId="67797A22" w14:textId="77777777" w:rsidR="006C4C8D" w:rsidRDefault="006C4C8D"/>
    <w:tbl>
      <w:tblPr>
        <w:tblStyle w:val="DefaultTable"/>
        <w:tblW w:w="5000" w:type="pct"/>
        <w:tblLook w:val="04A0" w:firstRow="1" w:lastRow="0" w:firstColumn="1" w:lastColumn="0" w:noHBand="0" w:noVBand="1"/>
      </w:tblPr>
      <w:tblGrid>
        <w:gridCol w:w="4792"/>
        <w:gridCol w:w="4846"/>
      </w:tblGrid>
      <w:tr w:rsidR="006C4C8D" w14:paraId="434F0D97"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3A4F57E6" w14:textId="77777777" w:rsidR="006C4C8D" w:rsidRDefault="00A86C1F">
            <w:r>
              <w:t>Metode poučevanja in učenja:</w:t>
            </w:r>
          </w:p>
        </w:tc>
        <w:tc>
          <w:tcPr>
            <w:tcW w:w="0" w:type="pct"/>
          </w:tcPr>
          <w:p w14:paraId="10EBDB77" w14:textId="77777777" w:rsidR="006C4C8D" w:rsidRDefault="00A86C1F">
            <w:r>
              <w:t>Learning and teaching methods:</w:t>
            </w:r>
          </w:p>
        </w:tc>
      </w:tr>
      <w:tr w:rsidR="006C4C8D" w14:paraId="326E8BE0" w14:textId="77777777" w:rsidTr="00D94EC2">
        <w:tc>
          <w:tcPr>
            <w:tcW w:w="0" w:type="auto"/>
          </w:tcPr>
          <w:p w14:paraId="4AC93DE2" w14:textId="77777777" w:rsidR="006C4C8D" w:rsidRDefault="00A86C1F">
            <w:r>
              <w:t>Predavanja – predavajo se izbrane teme, ki se določijo posebej glede na formalni pravni razvoj ter razvoj teorije in prakse.</w:t>
            </w:r>
          </w:p>
          <w:p w14:paraId="2557F3C0" w14:textId="77777777" w:rsidR="006C4C8D" w:rsidRDefault="00A86C1F">
            <w:r>
              <w:t>Seminarske vaje – na seminarskih vajah študentje predstavijo vsebino seminarske naloge.</w:t>
            </w:r>
          </w:p>
          <w:p w14:paraId="3A2ECEC3" w14:textId="77777777" w:rsidR="006C4C8D" w:rsidRDefault="00A86C1F">
            <w:r>
              <w:t>Drugo – izdelava seminarske naloge, ki obravnava zahtevnejši pravni problem z navedenih področij.</w:t>
            </w:r>
          </w:p>
          <w:p w14:paraId="30BEE9A7" w14:textId="77777777" w:rsidR="006C4C8D" w:rsidRDefault="00A86C1F">
            <w:r>
              <w:t>Individualni študij za izpit.</w:t>
            </w:r>
          </w:p>
        </w:tc>
        <w:tc>
          <w:tcPr>
            <w:tcW w:w="0" w:type="auto"/>
          </w:tcPr>
          <w:p w14:paraId="27168B34" w14:textId="77777777" w:rsidR="006C4C8D" w:rsidRDefault="00A86C1F">
            <w:r>
              <w:t>Lectures – specific topics, selected according to the development of the fundamental sources of international law and development of legal theory and practice will be discussed.</w:t>
            </w:r>
          </w:p>
          <w:p w14:paraId="26E71412" w14:textId="77777777" w:rsidR="006C4C8D" w:rsidRDefault="00A86C1F">
            <w:r>
              <w:t>Seminar - students present the topic of their seminar research paper.</w:t>
            </w:r>
          </w:p>
          <w:p w14:paraId="09F9C9A3" w14:textId="77777777" w:rsidR="006C4C8D" w:rsidRDefault="00A86C1F">
            <w:r>
              <w:t>Other - preparation of a seminar research paper, which addresses a more advanced legal problem within the relevant disciplines.</w:t>
            </w:r>
          </w:p>
          <w:p w14:paraId="4EB9368D" w14:textId="77777777" w:rsidR="006C4C8D" w:rsidRDefault="00A86C1F">
            <w:r>
              <w:t>Individual study for the exam.</w:t>
            </w:r>
          </w:p>
        </w:tc>
      </w:tr>
    </w:tbl>
    <w:p w14:paraId="55F8E33F" w14:textId="77777777" w:rsidR="006C4C8D" w:rsidRDefault="006C4C8D"/>
    <w:tbl>
      <w:tblPr>
        <w:tblStyle w:val="DefaultTable"/>
        <w:tblW w:w="5000" w:type="pct"/>
        <w:tblLook w:val="04A0" w:firstRow="1" w:lastRow="0" w:firstColumn="1" w:lastColumn="0" w:noHBand="0" w:noVBand="1"/>
      </w:tblPr>
      <w:tblGrid>
        <w:gridCol w:w="3161"/>
        <w:gridCol w:w="3298"/>
        <w:gridCol w:w="3179"/>
      </w:tblGrid>
      <w:tr w:rsidR="006C4C8D" w14:paraId="18B96949"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4832BDAE" w14:textId="77777777" w:rsidR="006C4C8D" w:rsidRDefault="00A86C1F">
            <w:r>
              <w:t>Načini ocenjevanja:</w:t>
            </w:r>
          </w:p>
        </w:tc>
        <w:tc>
          <w:tcPr>
            <w:tcW w:w="0" w:type="pct"/>
          </w:tcPr>
          <w:p w14:paraId="5DA39539" w14:textId="77777777" w:rsidR="006C4C8D" w:rsidRDefault="00A86C1F">
            <w:pPr>
              <w:keepNext/>
              <w:jc w:val="center"/>
            </w:pPr>
            <w:r>
              <w:t>Delež/Weight</w:t>
            </w:r>
          </w:p>
        </w:tc>
        <w:tc>
          <w:tcPr>
            <w:tcW w:w="0" w:type="pct"/>
          </w:tcPr>
          <w:p w14:paraId="67A0A3D1" w14:textId="77777777" w:rsidR="006C4C8D" w:rsidRDefault="00A86C1F">
            <w:r>
              <w:t>Assessment:</w:t>
            </w:r>
          </w:p>
        </w:tc>
      </w:tr>
      <w:tr w:rsidR="006C4C8D" w14:paraId="4193FDD1" w14:textId="77777777" w:rsidTr="00D94EC2">
        <w:tc>
          <w:tcPr>
            <w:tcW w:w="0" w:type="auto"/>
          </w:tcPr>
          <w:p w14:paraId="1C08DFA0" w14:textId="77777777" w:rsidR="006C4C8D" w:rsidRDefault="00A86C1F">
            <w:r>
              <w:t>Ustni izpit. Za pristop k izpitu se zahteva uspešno izdelana in predstavljena seminarska naloga. Predstavitev se lahko opravi na seminarskih vajah ali pred učiteljem ocenjevalcem.</w:t>
            </w:r>
          </w:p>
        </w:tc>
        <w:tc>
          <w:tcPr>
            <w:tcW w:w="0" w:type="auto"/>
          </w:tcPr>
          <w:p w14:paraId="1B77C941" w14:textId="77777777" w:rsidR="006C4C8D" w:rsidRDefault="00A86C1F">
            <w:pPr>
              <w:keepNext/>
              <w:jc w:val="center"/>
            </w:pPr>
            <w:r>
              <w:t>100,00 %</w:t>
            </w:r>
          </w:p>
        </w:tc>
        <w:tc>
          <w:tcPr>
            <w:tcW w:w="0" w:type="auto"/>
          </w:tcPr>
          <w:p w14:paraId="5D708B11" w14:textId="77777777" w:rsidR="006C4C8D" w:rsidRDefault="00A86C1F">
            <w:r>
              <w:t>Oral examination. Successful preparation and presentation of the seminar research paper is the predisposition for partaking in the exam. The seminar research paper may be presented in the seminar or before a teacher examiner.</w:t>
            </w:r>
          </w:p>
        </w:tc>
      </w:tr>
    </w:tbl>
    <w:p w14:paraId="657D1151" w14:textId="77777777" w:rsidR="006C4C8D" w:rsidRDefault="006C4C8D"/>
    <w:tbl>
      <w:tblPr>
        <w:tblStyle w:val="DefaultTable"/>
        <w:tblW w:w="5000" w:type="pct"/>
        <w:tblLook w:val="04A0" w:firstRow="1" w:lastRow="0" w:firstColumn="1" w:lastColumn="0" w:noHBand="0" w:noVBand="1"/>
      </w:tblPr>
      <w:tblGrid>
        <w:gridCol w:w="4919"/>
        <w:gridCol w:w="4719"/>
      </w:tblGrid>
      <w:tr w:rsidR="006C4C8D" w14:paraId="3FAD5A1A" w14:textId="77777777" w:rsidTr="00D94EC2">
        <w:trPr>
          <w:cnfStyle w:val="100000000000" w:firstRow="1" w:lastRow="0" w:firstColumn="0" w:lastColumn="0" w:oddVBand="0" w:evenVBand="0" w:oddHBand="0" w:evenHBand="0" w:firstRowFirstColumn="0" w:firstRowLastColumn="0" w:lastRowFirstColumn="0" w:lastRowLastColumn="0"/>
        </w:trPr>
        <w:tc>
          <w:tcPr>
            <w:tcW w:w="0" w:type="pct"/>
          </w:tcPr>
          <w:p w14:paraId="0A0E3AD4" w14:textId="77777777" w:rsidR="006C4C8D" w:rsidRDefault="00A86C1F">
            <w:r>
              <w:t>Ocenjevalna lestvica:</w:t>
            </w:r>
          </w:p>
        </w:tc>
        <w:tc>
          <w:tcPr>
            <w:tcW w:w="0" w:type="pct"/>
          </w:tcPr>
          <w:p w14:paraId="5EF387CB" w14:textId="77777777" w:rsidR="006C4C8D" w:rsidRDefault="00A86C1F">
            <w:r>
              <w:t>Grading system:</w:t>
            </w:r>
          </w:p>
        </w:tc>
      </w:tr>
      <w:tr w:rsidR="006C4C8D" w14:paraId="1202C849" w14:textId="77777777">
        <w:tc>
          <w:tcPr>
            <w:tcW w:w="0" w:type="auto"/>
          </w:tcPr>
          <w:p w14:paraId="78666BBD" w14:textId="5AE2D3E2" w:rsidR="006C4C8D" w:rsidRPr="00DD2079" w:rsidRDefault="00DD2079" w:rsidP="00D94EC2">
            <w:pPr>
              <w:pStyle w:val="NormalWeb"/>
              <w:rPr>
                <w:szCs w:val="22"/>
              </w:rPr>
            </w:pPr>
            <w:r w:rsidRPr="00E22B27">
              <w:rPr>
                <w:rFonts w:ascii="Garamond" w:hAnsi="Garamond"/>
                <w:sz w:val="22"/>
                <w:szCs w:val="22"/>
              </w:rPr>
              <w:t xml:space="preserve">Izpit se oceni z ocenjevalno lestvico od 5 do 10: od 6 do 10 (pozitivno) oziroma 5 (negativno); ob upoštevanju Statuta UL in pravil Pravne fakultete. </w:t>
            </w:r>
          </w:p>
        </w:tc>
        <w:tc>
          <w:tcPr>
            <w:tcW w:w="0" w:type="auto"/>
          </w:tcPr>
          <w:p w14:paraId="0C4018C4" w14:textId="2AA49F43" w:rsidR="006C4C8D" w:rsidRDefault="00DD2079">
            <w:r w:rsidRPr="00E22B27">
              <w:rPr>
                <w:szCs w:val="22"/>
              </w:rPr>
              <w:t>The exam is graded on the grading scale 5-10: 6-10 (passing grades) and 5 (fail), in accordance with the Statute of the University of Ljubljana and the Rules of the Faculty of Law.</w:t>
            </w:r>
          </w:p>
        </w:tc>
      </w:tr>
    </w:tbl>
    <w:p w14:paraId="0FCA4B06" w14:textId="77777777" w:rsidR="006C4C8D" w:rsidRDefault="006C4C8D"/>
    <w:tbl>
      <w:tblPr>
        <w:tblStyle w:val="DefaultTable"/>
        <w:tblW w:w="5000" w:type="pct"/>
        <w:tblLook w:val="04A0" w:firstRow="1" w:lastRow="0" w:firstColumn="1" w:lastColumn="0" w:noHBand="0" w:noVBand="1"/>
      </w:tblPr>
      <w:tblGrid>
        <w:gridCol w:w="9638"/>
      </w:tblGrid>
      <w:tr w:rsidR="006C4C8D" w14:paraId="2A731A83" w14:textId="77777777" w:rsidTr="00D94EC2">
        <w:trPr>
          <w:cnfStyle w:val="100000000000" w:firstRow="1" w:lastRow="0" w:firstColumn="0" w:lastColumn="0" w:oddVBand="0" w:evenVBand="0" w:oddHBand="0" w:evenHBand="0" w:firstRowFirstColumn="0" w:firstRowLastColumn="0" w:lastRowFirstColumn="0" w:lastRowLastColumn="0"/>
        </w:trPr>
        <w:tc>
          <w:tcPr>
            <w:tcW w:w="0" w:type="auto"/>
          </w:tcPr>
          <w:p w14:paraId="5EACE8FD" w14:textId="77777777" w:rsidR="006C4C8D" w:rsidRDefault="00A86C1F">
            <w:r>
              <w:t>Reference nosilca/Lecturer's references:</w:t>
            </w:r>
          </w:p>
        </w:tc>
      </w:tr>
      <w:tr w:rsidR="006C4C8D" w14:paraId="7C29430E" w14:textId="77777777">
        <w:tc>
          <w:tcPr>
            <w:tcW w:w="0" w:type="auto"/>
          </w:tcPr>
          <w:p w14:paraId="1CCCDCF2" w14:textId="4BD100EF" w:rsidR="00806D5F" w:rsidRDefault="00806D5F" w:rsidP="00806D5F">
            <w:pPr>
              <w:autoSpaceDE w:val="0"/>
              <w:autoSpaceDN w:val="0"/>
              <w:adjustRightInd w:val="0"/>
              <w:rPr>
                <w:rFonts w:cs="Arial"/>
                <w:b/>
                <w:szCs w:val="22"/>
              </w:rPr>
            </w:pPr>
            <w:r w:rsidRPr="00806D5F">
              <w:rPr>
                <w:rFonts w:cs="Arial"/>
                <w:b/>
                <w:szCs w:val="22"/>
              </w:rPr>
              <w:t>doc. dr. Maša Kovič Dine:</w:t>
            </w:r>
          </w:p>
          <w:p w14:paraId="4ED3B824" w14:textId="77777777" w:rsidR="001E1C57" w:rsidRPr="00562DF4" w:rsidRDefault="001E1C57" w:rsidP="001E1C57">
            <w:pPr>
              <w:autoSpaceDE w:val="0"/>
              <w:autoSpaceDN w:val="0"/>
              <w:adjustRightInd w:val="0"/>
              <w:jc w:val="both"/>
              <w:rPr>
                <w:rFonts w:eastAsia="Times New Roman" w:cs="Calibri"/>
                <w:iCs/>
                <w:szCs w:val="22"/>
              </w:rPr>
            </w:pPr>
            <w:r w:rsidRPr="00562DF4">
              <w:rPr>
                <w:rFonts w:eastAsia="Times New Roman" w:cs="Calibri"/>
                <w:iCs/>
                <w:szCs w:val="22"/>
              </w:rPr>
              <w:t>[1] SANCIN, V., KOVIČ DINE, M.:</w:t>
            </w:r>
            <w:r>
              <w:rPr>
                <w:rFonts w:eastAsia="Times New Roman" w:cs="Calibri"/>
                <w:iCs/>
                <w:szCs w:val="22"/>
              </w:rPr>
              <w:t xml:space="preserve"> Slovenia. V: Roach, K.(ur.):</w:t>
            </w:r>
            <w:r w:rsidRPr="00562DF4">
              <w:rPr>
                <w:rFonts w:eastAsia="Times New Roman" w:cs="Calibri"/>
                <w:iCs/>
                <w:szCs w:val="22"/>
              </w:rPr>
              <w:t xml:space="preserve"> Comparative counter-terrorism law. New York: Cambridge University Press, 2015. </w:t>
            </w:r>
          </w:p>
          <w:p w14:paraId="2B4C120C" w14:textId="77777777" w:rsidR="001E1C57" w:rsidRPr="00562DF4" w:rsidRDefault="001E1C57" w:rsidP="001E1C57">
            <w:pPr>
              <w:autoSpaceDE w:val="0"/>
              <w:autoSpaceDN w:val="0"/>
              <w:adjustRightInd w:val="0"/>
              <w:jc w:val="both"/>
              <w:rPr>
                <w:rFonts w:eastAsia="Times New Roman" w:cs="Calibri"/>
                <w:iCs/>
                <w:szCs w:val="22"/>
              </w:rPr>
            </w:pPr>
            <w:r w:rsidRPr="00562DF4">
              <w:rPr>
                <w:rFonts w:eastAsia="Times New Roman" w:cs="Calibri"/>
                <w:iCs/>
                <w:szCs w:val="22"/>
              </w:rPr>
              <w:t>[</w:t>
            </w:r>
            <w:r>
              <w:rPr>
                <w:rFonts w:eastAsia="Times New Roman" w:cs="Calibri"/>
                <w:iCs/>
                <w:szCs w:val="22"/>
              </w:rPr>
              <w:t>2</w:t>
            </w:r>
            <w:r w:rsidRPr="00562DF4">
              <w:rPr>
                <w:rFonts w:eastAsia="Times New Roman" w:cs="Calibri"/>
                <w:iCs/>
                <w:szCs w:val="22"/>
              </w:rPr>
              <w:t>] K</w:t>
            </w:r>
            <w:r>
              <w:rPr>
                <w:rFonts w:eastAsia="Times New Roman" w:cs="Calibri"/>
                <w:iCs/>
                <w:szCs w:val="22"/>
              </w:rPr>
              <w:t>OVIČ DINE</w:t>
            </w:r>
            <w:r w:rsidRPr="00562DF4">
              <w:rPr>
                <w:rFonts w:eastAsia="Times New Roman" w:cs="Calibri"/>
                <w:iCs/>
                <w:szCs w:val="22"/>
              </w:rPr>
              <w:t>, M.</w:t>
            </w:r>
            <w:r>
              <w:rPr>
                <w:rFonts w:eastAsia="Times New Roman" w:cs="Calibri"/>
                <w:iCs/>
                <w:szCs w:val="22"/>
              </w:rPr>
              <w:t>:</w:t>
            </w:r>
            <w:r w:rsidRPr="00562DF4">
              <w:rPr>
                <w:rFonts w:eastAsia="Times New Roman" w:cs="Calibri"/>
                <w:iCs/>
                <w:szCs w:val="22"/>
              </w:rPr>
              <w:t xml:space="preserve"> Regulating economic cyber-espionage among states under international law. V: S</w:t>
            </w:r>
            <w:r>
              <w:rPr>
                <w:rFonts w:eastAsia="Times New Roman" w:cs="Calibri"/>
                <w:iCs/>
                <w:szCs w:val="22"/>
              </w:rPr>
              <w:t>vantesson</w:t>
            </w:r>
            <w:r w:rsidRPr="00562DF4">
              <w:rPr>
                <w:rFonts w:eastAsia="Times New Roman" w:cs="Calibri"/>
                <w:iCs/>
                <w:szCs w:val="22"/>
              </w:rPr>
              <w:t>, D</w:t>
            </w:r>
            <w:r>
              <w:rPr>
                <w:rFonts w:eastAsia="Times New Roman" w:cs="Calibri"/>
                <w:iCs/>
                <w:szCs w:val="22"/>
              </w:rPr>
              <w:t>.</w:t>
            </w:r>
            <w:r w:rsidRPr="00562DF4">
              <w:rPr>
                <w:rFonts w:eastAsia="Times New Roman" w:cs="Calibri"/>
                <w:iCs/>
                <w:szCs w:val="22"/>
              </w:rPr>
              <w:t xml:space="preserve"> J</w:t>
            </w:r>
            <w:r>
              <w:rPr>
                <w:rFonts w:eastAsia="Times New Roman" w:cs="Calibri"/>
                <w:iCs/>
                <w:szCs w:val="22"/>
              </w:rPr>
              <w:t>.B.</w:t>
            </w:r>
            <w:r w:rsidRPr="00562DF4">
              <w:rPr>
                <w:rFonts w:eastAsia="Times New Roman" w:cs="Calibri"/>
                <w:iCs/>
                <w:szCs w:val="22"/>
              </w:rPr>
              <w:t>, K</w:t>
            </w:r>
            <w:r>
              <w:rPr>
                <w:rFonts w:eastAsia="Times New Roman" w:cs="Calibri"/>
                <w:iCs/>
                <w:szCs w:val="22"/>
              </w:rPr>
              <w:t>loza</w:t>
            </w:r>
            <w:r w:rsidRPr="00562DF4">
              <w:rPr>
                <w:rFonts w:eastAsia="Times New Roman" w:cs="Calibri"/>
                <w:iCs/>
                <w:szCs w:val="22"/>
              </w:rPr>
              <w:t>, D</w:t>
            </w:r>
            <w:r>
              <w:rPr>
                <w:rFonts w:eastAsia="Times New Roman" w:cs="Calibri"/>
                <w:iCs/>
                <w:szCs w:val="22"/>
              </w:rPr>
              <w:t>.</w:t>
            </w:r>
            <w:r w:rsidRPr="00562DF4">
              <w:rPr>
                <w:rFonts w:eastAsia="Times New Roman" w:cs="Calibri"/>
                <w:iCs/>
                <w:szCs w:val="22"/>
              </w:rPr>
              <w:t>(ur.)</w:t>
            </w:r>
            <w:r>
              <w:rPr>
                <w:rFonts w:eastAsia="Times New Roman" w:cs="Calibri"/>
                <w:iCs/>
                <w:szCs w:val="22"/>
              </w:rPr>
              <w:t>:</w:t>
            </w:r>
            <w:r w:rsidRPr="00562DF4">
              <w:rPr>
                <w:rFonts w:eastAsia="Times New Roman" w:cs="Calibri"/>
                <w:iCs/>
                <w:szCs w:val="22"/>
              </w:rPr>
              <w:t xml:space="preserve"> Trans-Atlantic data privacy relations as a challenge for democracy. Cambridge: Intersentia, cop. </w:t>
            </w:r>
            <w:r>
              <w:rPr>
                <w:rFonts w:eastAsia="Times New Roman" w:cs="Calibri"/>
                <w:iCs/>
                <w:szCs w:val="22"/>
              </w:rPr>
              <w:t>(</w:t>
            </w:r>
            <w:r w:rsidRPr="00562DF4">
              <w:rPr>
                <w:rFonts w:eastAsia="Times New Roman" w:cs="Calibri"/>
                <w:iCs/>
                <w:szCs w:val="22"/>
              </w:rPr>
              <w:t>2017</w:t>
            </w:r>
            <w:r>
              <w:rPr>
                <w:rFonts w:eastAsia="Times New Roman" w:cs="Calibri"/>
                <w:iCs/>
                <w:szCs w:val="22"/>
              </w:rPr>
              <w:t>)</w:t>
            </w:r>
            <w:r w:rsidRPr="00562DF4">
              <w:rPr>
                <w:rFonts w:eastAsia="Times New Roman" w:cs="Calibri"/>
                <w:iCs/>
                <w:szCs w:val="22"/>
              </w:rPr>
              <w:t>. </w:t>
            </w:r>
          </w:p>
          <w:p w14:paraId="205D2F74" w14:textId="77777777" w:rsidR="001E1C57" w:rsidRPr="00562DF4" w:rsidRDefault="001E1C57" w:rsidP="001E1C57">
            <w:pPr>
              <w:autoSpaceDE w:val="0"/>
              <w:autoSpaceDN w:val="0"/>
              <w:adjustRightInd w:val="0"/>
              <w:jc w:val="both"/>
              <w:rPr>
                <w:rFonts w:eastAsia="Times New Roman" w:cs="Calibri"/>
                <w:iCs/>
                <w:szCs w:val="22"/>
              </w:rPr>
            </w:pPr>
            <w:r>
              <w:rPr>
                <w:rFonts w:eastAsia="Times New Roman" w:cs="Calibri"/>
                <w:iCs/>
                <w:szCs w:val="22"/>
              </w:rPr>
              <w:t>[3</w:t>
            </w:r>
            <w:r w:rsidRPr="00562DF4">
              <w:rPr>
                <w:rFonts w:eastAsia="Times New Roman" w:cs="Calibri"/>
                <w:iCs/>
                <w:szCs w:val="22"/>
              </w:rPr>
              <w:t xml:space="preserve">] </w:t>
            </w:r>
            <w:r>
              <w:rPr>
                <w:rFonts w:eastAsia="Times New Roman" w:cs="Calibri"/>
                <w:iCs/>
                <w:szCs w:val="22"/>
              </w:rPr>
              <w:t>KOVIČ DINE</w:t>
            </w:r>
            <w:r w:rsidRPr="00562DF4">
              <w:rPr>
                <w:rFonts w:eastAsia="Times New Roman" w:cs="Calibri"/>
                <w:iCs/>
                <w:szCs w:val="22"/>
              </w:rPr>
              <w:t>, M.</w:t>
            </w:r>
            <w:r>
              <w:rPr>
                <w:rFonts w:eastAsia="Times New Roman" w:cs="Calibri"/>
                <w:iCs/>
                <w:szCs w:val="22"/>
              </w:rPr>
              <w:t>: Right to development</w:t>
            </w:r>
            <w:r w:rsidRPr="00562DF4">
              <w:rPr>
                <w:rFonts w:eastAsia="Times New Roman" w:cs="Calibri"/>
                <w:iCs/>
                <w:szCs w:val="22"/>
              </w:rPr>
              <w:t xml:space="preserve">: driver for extraterritorial application of economic, social and cultural rights. V: </w:t>
            </w:r>
            <w:r>
              <w:rPr>
                <w:rFonts w:eastAsia="Times New Roman" w:cs="Calibri"/>
                <w:iCs/>
                <w:szCs w:val="22"/>
              </w:rPr>
              <w:t>Lorenzmeier,</w:t>
            </w:r>
            <w:r w:rsidRPr="00562DF4">
              <w:rPr>
                <w:rFonts w:eastAsia="Times New Roman" w:cs="Calibri"/>
                <w:iCs/>
                <w:szCs w:val="22"/>
              </w:rPr>
              <w:t xml:space="preserve"> S</w:t>
            </w:r>
            <w:r>
              <w:rPr>
                <w:rFonts w:eastAsia="Times New Roman" w:cs="Calibri"/>
                <w:iCs/>
                <w:szCs w:val="22"/>
              </w:rPr>
              <w:t>.,</w:t>
            </w:r>
            <w:r w:rsidRPr="00562DF4">
              <w:rPr>
                <w:rFonts w:eastAsia="Times New Roman" w:cs="Calibri"/>
                <w:iCs/>
                <w:szCs w:val="22"/>
              </w:rPr>
              <w:t xml:space="preserve"> </w:t>
            </w:r>
            <w:r>
              <w:rPr>
                <w:rFonts w:eastAsia="Times New Roman" w:cs="Calibri"/>
                <w:iCs/>
                <w:szCs w:val="22"/>
              </w:rPr>
              <w:t>Sancin</w:t>
            </w:r>
            <w:r w:rsidRPr="00562DF4">
              <w:rPr>
                <w:rFonts w:eastAsia="Times New Roman" w:cs="Calibri"/>
                <w:iCs/>
                <w:szCs w:val="22"/>
              </w:rPr>
              <w:t>, V</w:t>
            </w:r>
            <w:r>
              <w:rPr>
                <w:rFonts w:eastAsia="Times New Roman" w:cs="Calibri"/>
                <w:iCs/>
                <w:szCs w:val="22"/>
              </w:rPr>
              <w:t>. (ur.):</w:t>
            </w:r>
            <w:r w:rsidRPr="00562DF4">
              <w:rPr>
                <w:rFonts w:eastAsia="Times New Roman" w:cs="Calibri"/>
                <w:iCs/>
                <w:szCs w:val="22"/>
              </w:rPr>
              <w:t> Contemporary issues of human rights protection in international and national settings. 1. Auf</w:t>
            </w:r>
            <w:r>
              <w:rPr>
                <w:rFonts w:eastAsia="Times New Roman" w:cs="Calibri"/>
                <w:iCs/>
                <w:szCs w:val="22"/>
              </w:rPr>
              <w:t>l. Baden-Baden: Nomos,</w:t>
            </w:r>
            <w:r w:rsidRPr="00562DF4">
              <w:rPr>
                <w:rFonts w:eastAsia="Times New Roman" w:cs="Calibri"/>
                <w:iCs/>
                <w:szCs w:val="22"/>
              </w:rPr>
              <w:t xml:space="preserve"> Hart, </w:t>
            </w:r>
            <w:r>
              <w:rPr>
                <w:rFonts w:eastAsia="Times New Roman" w:cs="Calibri"/>
                <w:iCs/>
                <w:szCs w:val="22"/>
              </w:rPr>
              <w:t>(</w:t>
            </w:r>
            <w:r w:rsidRPr="00562DF4">
              <w:rPr>
                <w:rFonts w:eastAsia="Times New Roman" w:cs="Calibri"/>
                <w:iCs/>
                <w:szCs w:val="22"/>
              </w:rPr>
              <w:t>2018</w:t>
            </w:r>
            <w:r>
              <w:rPr>
                <w:rFonts w:eastAsia="Times New Roman" w:cs="Calibri"/>
                <w:iCs/>
                <w:szCs w:val="22"/>
              </w:rPr>
              <w:t>).</w:t>
            </w:r>
          </w:p>
          <w:p w14:paraId="31F2277E" w14:textId="77777777" w:rsidR="001E1C57" w:rsidRDefault="001E1C57" w:rsidP="001E1C57">
            <w:pPr>
              <w:autoSpaceDE w:val="0"/>
              <w:autoSpaceDN w:val="0"/>
              <w:adjustRightInd w:val="0"/>
              <w:jc w:val="both"/>
              <w:rPr>
                <w:rFonts w:eastAsia="Times New Roman" w:cs="Calibri"/>
                <w:iCs/>
                <w:szCs w:val="22"/>
              </w:rPr>
            </w:pPr>
            <w:r>
              <w:rPr>
                <w:rFonts w:eastAsia="Times New Roman" w:cs="Calibri"/>
                <w:iCs/>
                <w:szCs w:val="22"/>
              </w:rPr>
              <w:t>[4</w:t>
            </w:r>
            <w:r w:rsidRPr="00562DF4">
              <w:rPr>
                <w:rFonts w:eastAsia="Times New Roman" w:cs="Calibri"/>
                <w:iCs/>
                <w:szCs w:val="22"/>
              </w:rPr>
              <w:t xml:space="preserve">] </w:t>
            </w:r>
            <w:r>
              <w:rPr>
                <w:rFonts w:eastAsia="Times New Roman" w:cs="Calibri"/>
                <w:iCs/>
                <w:szCs w:val="22"/>
              </w:rPr>
              <w:t>KOVIČ DINE, M</w:t>
            </w:r>
            <w:r w:rsidRPr="00562DF4">
              <w:rPr>
                <w:rFonts w:eastAsia="Times New Roman" w:cs="Calibri"/>
                <w:iCs/>
                <w:szCs w:val="22"/>
              </w:rPr>
              <w:t>.</w:t>
            </w:r>
            <w:r>
              <w:rPr>
                <w:rFonts w:eastAsia="Times New Roman" w:cs="Calibri"/>
                <w:iCs/>
                <w:szCs w:val="22"/>
              </w:rPr>
              <w:t>:</w:t>
            </w:r>
            <w:r w:rsidRPr="00562DF4">
              <w:rPr>
                <w:rFonts w:eastAsia="Times New Roman" w:cs="Calibri"/>
                <w:iCs/>
                <w:szCs w:val="22"/>
              </w:rPr>
              <w:t xml:space="preserve"> Consequences of the recognition of forest protection as a common concern of humank</w:t>
            </w:r>
            <w:r>
              <w:rPr>
                <w:rFonts w:eastAsia="Times New Roman" w:cs="Calibri"/>
                <w:iCs/>
                <w:szCs w:val="22"/>
              </w:rPr>
              <w:t>ind for the anthropocene. V: Lim</w:t>
            </w:r>
            <w:r w:rsidRPr="00562DF4">
              <w:rPr>
                <w:rFonts w:eastAsia="Times New Roman" w:cs="Calibri"/>
                <w:iCs/>
                <w:szCs w:val="22"/>
              </w:rPr>
              <w:t>, M</w:t>
            </w:r>
            <w:r>
              <w:rPr>
                <w:rFonts w:eastAsia="Times New Roman" w:cs="Calibri"/>
                <w:iCs/>
                <w:szCs w:val="22"/>
              </w:rPr>
              <w:t>. (ur.):</w:t>
            </w:r>
            <w:r w:rsidRPr="00562DF4">
              <w:rPr>
                <w:rFonts w:eastAsia="Times New Roman" w:cs="Calibri"/>
                <w:iCs/>
                <w:szCs w:val="22"/>
              </w:rPr>
              <w:t xml:space="preserve"> Charting environmental law futures in the anthropocene. Singapore: Springer, cop. </w:t>
            </w:r>
            <w:r>
              <w:rPr>
                <w:rFonts w:eastAsia="Times New Roman" w:cs="Calibri"/>
                <w:iCs/>
                <w:szCs w:val="22"/>
              </w:rPr>
              <w:t>(</w:t>
            </w:r>
            <w:r w:rsidRPr="00562DF4">
              <w:rPr>
                <w:rFonts w:eastAsia="Times New Roman" w:cs="Calibri"/>
                <w:iCs/>
                <w:szCs w:val="22"/>
              </w:rPr>
              <w:t>2019</w:t>
            </w:r>
            <w:r>
              <w:rPr>
                <w:rFonts w:eastAsia="Times New Roman" w:cs="Calibri"/>
                <w:iCs/>
                <w:szCs w:val="22"/>
              </w:rPr>
              <w:t>)</w:t>
            </w:r>
            <w:r w:rsidRPr="00562DF4">
              <w:rPr>
                <w:rFonts w:eastAsia="Times New Roman" w:cs="Calibri"/>
                <w:iCs/>
                <w:szCs w:val="22"/>
              </w:rPr>
              <w:t xml:space="preserve">. </w:t>
            </w:r>
          </w:p>
          <w:p w14:paraId="31E1E903" w14:textId="77777777" w:rsidR="001E1C57" w:rsidRDefault="001E1C57" w:rsidP="001E1C57">
            <w:pPr>
              <w:autoSpaceDE w:val="0"/>
              <w:autoSpaceDN w:val="0"/>
              <w:adjustRightInd w:val="0"/>
              <w:jc w:val="both"/>
              <w:rPr>
                <w:rFonts w:cs="Calibri"/>
                <w:iCs/>
                <w:szCs w:val="22"/>
              </w:rPr>
            </w:pPr>
            <w:r w:rsidRPr="00562DF4">
              <w:rPr>
                <w:rFonts w:cs="Calibri"/>
                <w:iCs/>
                <w:szCs w:val="22"/>
              </w:rPr>
              <w:t>[</w:t>
            </w:r>
            <w:r>
              <w:rPr>
                <w:rFonts w:cs="Calibri"/>
                <w:iCs/>
                <w:szCs w:val="22"/>
              </w:rPr>
              <w:t>5</w:t>
            </w:r>
            <w:r w:rsidRPr="00562DF4">
              <w:rPr>
                <w:rFonts w:cs="Calibri"/>
                <w:iCs/>
                <w:szCs w:val="22"/>
              </w:rPr>
              <w:t xml:space="preserve">] </w:t>
            </w:r>
            <w:r>
              <w:rPr>
                <w:rFonts w:cs="Calibri"/>
                <w:iCs/>
                <w:szCs w:val="22"/>
              </w:rPr>
              <w:t>KOVIČ DINE</w:t>
            </w:r>
            <w:r w:rsidRPr="00562DF4">
              <w:rPr>
                <w:rFonts w:cs="Calibri"/>
                <w:iCs/>
                <w:szCs w:val="22"/>
              </w:rPr>
              <w:t xml:space="preserve">, </w:t>
            </w:r>
            <w:r>
              <w:rPr>
                <w:rFonts w:cs="Calibri"/>
                <w:iCs/>
                <w:szCs w:val="22"/>
              </w:rPr>
              <w:t>M.:</w:t>
            </w:r>
            <w:r w:rsidRPr="00562DF4">
              <w:rPr>
                <w:rFonts w:cs="Calibri"/>
                <w:iCs/>
                <w:szCs w:val="22"/>
              </w:rPr>
              <w:t xml:space="preserve"> Podnebne tožbe v mednarodnem okolju. V: 46. Dnevi slovenskih pravnikov, Podjetje</w:t>
            </w:r>
            <w:r>
              <w:rPr>
                <w:rFonts w:cs="Calibri"/>
                <w:iCs/>
                <w:szCs w:val="22"/>
              </w:rPr>
              <w:t xml:space="preserve"> in delo, letn. 46, št. 6/7 (2020).</w:t>
            </w:r>
          </w:p>
          <w:p w14:paraId="42B4E292" w14:textId="77777777" w:rsidR="001E1C57" w:rsidRDefault="001E1C57" w:rsidP="001E1C57">
            <w:pPr>
              <w:autoSpaceDE w:val="0"/>
              <w:autoSpaceDN w:val="0"/>
              <w:adjustRightInd w:val="0"/>
              <w:jc w:val="both"/>
              <w:rPr>
                <w:rFonts w:eastAsia="Times New Roman" w:cs="Calibri"/>
                <w:iCs/>
                <w:szCs w:val="22"/>
              </w:rPr>
            </w:pPr>
            <w:r>
              <w:rPr>
                <w:rFonts w:eastAsia="Times New Roman" w:cs="Calibri"/>
                <w:iCs/>
                <w:szCs w:val="22"/>
              </w:rPr>
              <w:t>[6</w:t>
            </w:r>
            <w:r w:rsidRPr="00562DF4">
              <w:rPr>
                <w:rFonts w:cs="Calibri"/>
                <w:iCs/>
                <w:szCs w:val="22"/>
              </w:rPr>
              <w:t>]</w:t>
            </w:r>
            <w:r>
              <w:rPr>
                <w:rFonts w:cs="Calibri"/>
                <w:iCs/>
                <w:szCs w:val="22"/>
              </w:rPr>
              <w:t xml:space="preserve"> </w:t>
            </w:r>
            <w:r w:rsidRPr="000020C2">
              <w:rPr>
                <w:rFonts w:eastAsia="Times New Roman" w:cs="Calibri"/>
                <w:iCs/>
                <w:szCs w:val="22"/>
              </w:rPr>
              <w:t>SANCIN, V</w:t>
            </w:r>
            <w:r>
              <w:rPr>
                <w:rFonts w:eastAsia="Times New Roman" w:cs="Calibri"/>
                <w:iCs/>
                <w:szCs w:val="22"/>
              </w:rPr>
              <w:t>.</w:t>
            </w:r>
            <w:r w:rsidRPr="000020C2">
              <w:rPr>
                <w:rFonts w:eastAsia="Times New Roman" w:cs="Calibri"/>
                <w:iCs/>
                <w:szCs w:val="22"/>
              </w:rPr>
              <w:t>, KOVIČ DINE, M., TURŠIČ, D</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(Ne)primernost uporabe kriterija avtohtonosti za urejanje položaja Romov v Sloveniji. Razprave in gradivo : revija za narodnostna vprašanja</w:t>
            </w:r>
            <w:r w:rsidRPr="000020C2">
              <w:rPr>
                <w:rFonts w:eastAsia="Times New Roman" w:cs="Calibri"/>
                <w:iCs/>
                <w:szCs w:val="22"/>
              </w:rPr>
              <w:t>,</w:t>
            </w:r>
            <w:r w:rsidRPr="006C1F41">
              <w:rPr>
                <w:rFonts w:eastAsia="Times New Roman" w:cs="Calibri"/>
                <w:iCs/>
                <w:szCs w:val="22"/>
              </w:rPr>
              <w:t xml:space="preserve"> dec. 2021, no. 87</w:t>
            </w:r>
            <w:r w:rsidRPr="000020C2">
              <w:rPr>
                <w:rFonts w:eastAsia="Times New Roman" w:cs="Calibri"/>
                <w:iCs/>
                <w:szCs w:val="22"/>
              </w:rPr>
              <w:t>.</w:t>
            </w:r>
          </w:p>
          <w:p w14:paraId="3064C3A5" w14:textId="77777777" w:rsidR="001E1C57" w:rsidRDefault="001E1C57" w:rsidP="001E1C57">
            <w:pPr>
              <w:autoSpaceDE w:val="0"/>
              <w:autoSpaceDN w:val="0"/>
              <w:adjustRightInd w:val="0"/>
              <w:jc w:val="both"/>
              <w:rPr>
                <w:rFonts w:eastAsia="Times New Roman" w:cs="Calibri"/>
                <w:iCs/>
                <w:szCs w:val="22"/>
              </w:rPr>
            </w:pPr>
            <w:r>
              <w:rPr>
                <w:rFonts w:eastAsia="Times New Roman" w:cs="Calibri"/>
                <w:iCs/>
                <w:szCs w:val="22"/>
              </w:rPr>
              <w:t>[7</w:t>
            </w:r>
            <w:r w:rsidRPr="00562DF4">
              <w:rPr>
                <w:rFonts w:cs="Calibri"/>
                <w:iCs/>
                <w:szCs w:val="22"/>
              </w:rPr>
              <w:t>]</w:t>
            </w:r>
            <w:r>
              <w:rPr>
                <w:rFonts w:eastAsia="Times New Roman" w:cs="Calibri"/>
                <w:iCs/>
                <w:szCs w:val="22"/>
              </w:rPr>
              <w:t xml:space="preserve"> </w:t>
            </w:r>
            <w:r w:rsidRPr="000020C2">
              <w:rPr>
                <w:rFonts w:eastAsia="Times New Roman" w:cs="Calibri"/>
                <w:iCs/>
                <w:szCs w:val="22"/>
              </w:rPr>
              <w:t>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Odgovornost države za neuporabo oziroma neustrezno uporabo umetne inteligence pri preprečevanju poplav in vplivi na človekove pravice. V: 49. Dnevi slovenskih pravnikov, 12. in 13. oktober 2023, Portorož. Ljubljana: LEXPERA, 2023. 49, [št.] 6/7</w:t>
            </w:r>
            <w:r>
              <w:rPr>
                <w:rFonts w:eastAsia="Times New Roman" w:cs="Calibri"/>
                <w:iCs/>
                <w:szCs w:val="22"/>
              </w:rPr>
              <w:t>.</w:t>
            </w:r>
          </w:p>
          <w:p w14:paraId="24B26B28" w14:textId="77777777" w:rsidR="001E1C57" w:rsidRDefault="001E1C57" w:rsidP="001E1C57">
            <w:pPr>
              <w:autoSpaceDE w:val="0"/>
              <w:autoSpaceDN w:val="0"/>
              <w:adjustRightInd w:val="0"/>
              <w:jc w:val="both"/>
              <w:rPr>
                <w:rFonts w:eastAsia="Times New Roman" w:cs="Calibri"/>
                <w:iCs/>
                <w:szCs w:val="22"/>
              </w:rPr>
            </w:pPr>
            <w:r>
              <w:rPr>
                <w:rFonts w:eastAsia="Times New Roman" w:cs="Calibri"/>
                <w:iCs/>
                <w:szCs w:val="22"/>
              </w:rPr>
              <w:t>[8</w:t>
            </w:r>
            <w:r w:rsidRPr="00562DF4">
              <w:rPr>
                <w:rFonts w:cs="Calibri"/>
                <w:iCs/>
                <w:szCs w:val="22"/>
              </w:rPr>
              <w:t>]</w:t>
            </w:r>
            <w:r>
              <w:rPr>
                <w:rFonts w:eastAsia="Times New Roman" w:cs="Calibri"/>
                <w:iCs/>
                <w:szCs w:val="22"/>
              </w:rPr>
              <w:t xml:space="preserve"> </w:t>
            </w:r>
            <w:r w:rsidRPr="000020C2">
              <w:rPr>
                <w:rFonts w:eastAsia="Times New Roman" w:cs="Calibri"/>
                <w:iCs/>
                <w:szCs w:val="22"/>
              </w:rPr>
              <w:t>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Early warning mechanism under R2P. V: SANCIN, Vasilka (ur.). Responsibility to protect in theory and practice : papers presented at the Responsibility to Protect in Theory and Practice Conference Ljubljana, April 11 - 12, 2013. 1st run. Ljubljana: GV založba, 2013.</w:t>
            </w:r>
          </w:p>
          <w:p w14:paraId="6BC5ABAE" w14:textId="77777777" w:rsidR="001E1C57" w:rsidRDefault="001E1C57" w:rsidP="001E1C57">
            <w:pPr>
              <w:autoSpaceDE w:val="0"/>
              <w:autoSpaceDN w:val="0"/>
              <w:adjustRightInd w:val="0"/>
              <w:jc w:val="both"/>
              <w:rPr>
                <w:rFonts w:eastAsia="Times New Roman" w:cs="Calibri"/>
                <w:iCs/>
                <w:szCs w:val="22"/>
              </w:rPr>
            </w:pPr>
            <w:r>
              <w:rPr>
                <w:rFonts w:eastAsia="Times New Roman" w:cs="Calibri"/>
                <w:iCs/>
                <w:szCs w:val="22"/>
              </w:rPr>
              <w:t>[9</w:t>
            </w:r>
            <w:r w:rsidRPr="00562DF4">
              <w:rPr>
                <w:rFonts w:cs="Calibri"/>
                <w:iCs/>
                <w:szCs w:val="22"/>
              </w:rPr>
              <w:t>]</w:t>
            </w:r>
            <w:r>
              <w:rPr>
                <w:rFonts w:eastAsia="Times New Roman" w:cs="Calibri"/>
                <w:iCs/>
                <w:szCs w:val="22"/>
              </w:rPr>
              <w:t xml:space="preserve"> </w:t>
            </w:r>
            <w:r w:rsidRPr="000020C2">
              <w:rPr>
                <w:rFonts w:eastAsia="Times New Roman" w:cs="Calibri"/>
                <w:iCs/>
                <w:szCs w:val="22"/>
              </w:rPr>
              <w:t>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Can the world heritage regime aid the adoption of an international fr</w:t>
            </w:r>
            <w:r w:rsidRPr="006E44B6">
              <w:rPr>
                <w:rFonts w:eastAsia="Times New Roman" w:cs="Calibri"/>
                <w:iCs/>
                <w:szCs w:val="22"/>
              </w:rPr>
              <w:t>amework for forest protection. v</w:t>
            </w:r>
            <w:r w:rsidRPr="006C1F41">
              <w:rPr>
                <w:rFonts w:eastAsia="Times New Roman" w:cs="Calibri"/>
                <w:iCs/>
                <w:szCs w:val="22"/>
              </w:rPr>
              <w:t>: YANKOV, Alexander (ur.). Trudove po mezhdunarodno pravo = Studies on international law = Travaux de droit international. Sofija: B</w:t>
            </w:r>
            <w:r w:rsidRPr="006C1F41">
              <w:rPr>
                <w:rFonts w:ascii="Times New Roman" w:eastAsia="Times New Roman" w:hAnsi="Times New Roman" w:cs="Times New Roman"/>
                <w:iCs/>
                <w:szCs w:val="22"/>
              </w:rPr>
              <w:t>ʹʹ</w:t>
            </w:r>
            <w:r w:rsidRPr="006C1F41">
              <w:rPr>
                <w:rFonts w:eastAsia="Times New Roman" w:cs="Calibri"/>
                <w:iCs/>
                <w:szCs w:val="22"/>
              </w:rPr>
              <w:t>lgarska asociacija po me</w:t>
            </w:r>
            <w:r w:rsidRPr="006C1F41">
              <w:rPr>
                <w:rFonts w:eastAsia="Times New Roman" w:cs="Garamond"/>
                <w:iCs/>
                <w:szCs w:val="22"/>
              </w:rPr>
              <w:t>ž</w:t>
            </w:r>
            <w:r w:rsidRPr="006C1F41">
              <w:rPr>
                <w:rFonts w:eastAsia="Times New Roman" w:cs="Calibri"/>
                <w:iCs/>
                <w:szCs w:val="22"/>
              </w:rPr>
              <w:t>dunarodno pravo, 2013.</w:t>
            </w:r>
          </w:p>
          <w:p w14:paraId="19581D5C" w14:textId="77777777" w:rsidR="001E1C57" w:rsidRDefault="001E1C57" w:rsidP="001E1C57">
            <w:pPr>
              <w:autoSpaceDE w:val="0"/>
              <w:autoSpaceDN w:val="0"/>
              <w:adjustRightInd w:val="0"/>
              <w:jc w:val="both"/>
              <w:rPr>
                <w:rFonts w:ascii="Open Sans" w:hAnsi="Open Sans" w:cs="Open Sans"/>
                <w:color w:val="111111"/>
                <w:spacing w:val="-4"/>
                <w:sz w:val="25"/>
                <w:szCs w:val="25"/>
                <w:shd w:val="clear" w:color="auto" w:fill="FFFFFF"/>
              </w:rPr>
            </w:pPr>
            <w:r>
              <w:rPr>
                <w:rFonts w:eastAsia="Times New Roman" w:cs="Calibri"/>
                <w:iCs/>
                <w:szCs w:val="22"/>
              </w:rPr>
              <w:t>[10</w:t>
            </w:r>
            <w:r w:rsidRPr="00562DF4">
              <w:rPr>
                <w:rFonts w:cs="Calibri"/>
                <w:iCs/>
                <w:szCs w:val="22"/>
              </w:rPr>
              <w:t>]</w:t>
            </w:r>
            <w:r>
              <w:rPr>
                <w:rFonts w:eastAsia="Times New Roman" w:cs="Calibri"/>
                <w:iCs/>
                <w:szCs w:val="22"/>
              </w:rPr>
              <w:t xml:space="preserve"> </w:t>
            </w:r>
            <w:r w:rsidRPr="006E44B6">
              <w:rPr>
                <w:rFonts w:eastAsia="Times New Roman" w:cs="Calibri"/>
                <w:iCs/>
                <w:szCs w:val="22"/>
              </w:rPr>
              <w:t>SANCIN, V., 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Strukturna diskriminacija v mednarodnem </w:t>
            </w:r>
            <w:r w:rsidRPr="006E44B6">
              <w:rPr>
                <w:rFonts w:eastAsia="Times New Roman" w:cs="Calibri"/>
                <w:iCs/>
                <w:szCs w:val="22"/>
              </w:rPr>
              <w:t>pravu in pravu Evropske unije. v</w:t>
            </w:r>
            <w:r w:rsidRPr="006C1F41">
              <w:rPr>
                <w:rFonts w:eastAsia="Times New Roman" w:cs="Calibri"/>
                <w:iCs/>
                <w:szCs w:val="22"/>
              </w:rPr>
              <w:t>: ŠUMI, Irena (ur.), UREK, Mojca (ur.). Od dehumanizacije do diskriminacije : vztrajne socialne problematike v Sloveniji. V Ljubljani: Založba Univerze, 2024.</w:t>
            </w:r>
            <w:r>
              <w:rPr>
                <w:rFonts w:ascii="Open Sans" w:hAnsi="Open Sans" w:cs="Open Sans"/>
                <w:color w:val="111111"/>
                <w:spacing w:val="-4"/>
                <w:sz w:val="25"/>
                <w:szCs w:val="25"/>
                <w:shd w:val="clear" w:color="auto" w:fill="FFFFFF"/>
              </w:rPr>
              <w:t> </w:t>
            </w:r>
          </w:p>
          <w:p w14:paraId="646B22AB" w14:textId="77777777" w:rsidR="001E1C57" w:rsidRDefault="001E1C57" w:rsidP="001E1C57">
            <w:pPr>
              <w:autoSpaceDE w:val="0"/>
              <w:autoSpaceDN w:val="0"/>
              <w:adjustRightInd w:val="0"/>
              <w:rPr>
                <w:rFonts w:eastAsia="MS Mincho" w:cs="Calibri"/>
                <w:bCs/>
                <w:szCs w:val="22"/>
              </w:rPr>
            </w:pPr>
            <w:r w:rsidRPr="006C1F41">
              <w:rPr>
                <w:rFonts w:eastAsia="Times New Roman" w:cs="Calibri"/>
                <w:iCs/>
                <w:szCs w:val="22"/>
              </w:rPr>
              <w:t>[11] TEKAVČIČ VEBER, M.,</w:t>
            </w:r>
            <w:r w:rsidRPr="00C56C87">
              <w:rPr>
                <w:rFonts w:eastAsia="MS Mincho" w:cs="Calibri"/>
                <w:bCs/>
                <w:szCs w:val="22"/>
              </w:rPr>
              <w:t xml:space="preserve"> KOVIČ DINE, M.</w:t>
            </w:r>
            <w:r>
              <w:rPr>
                <w:rFonts w:eastAsia="MS Mincho" w:cs="Calibri"/>
                <w:bCs/>
                <w:szCs w:val="22"/>
              </w:rPr>
              <w:t>:</w:t>
            </w:r>
            <w:r w:rsidRPr="00C56C87">
              <w:rPr>
                <w:rFonts w:eastAsia="MS Mincho" w:cs="Calibri"/>
                <w:bCs/>
                <w:szCs w:val="22"/>
              </w:rPr>
              <w:t xml:space="preserve"> Big data and economic cyber espionage: an </w:t>
            </w:r>
            <w:r>
              <w:rPr>
                <w:rFonts w:eastAsia="MS Mincho" w:cs="Calibri"/>
                <w:bCs/>
                <w:szCs w:val="22"/>
              </w:rPr>
              <w:t>international law perspective. v</w:t>
            </w:r>
            <w:r w:rsidRPr="00C56C87">
              <w:rPr>
                <w:rFonts w:eastAsia="MS Mincho" w:cs="Calibri"/>
                <w:bCs/>
                <w:szCs w:val="22"/>
              </w:rPr>
              <w:t>: ZAVRŠNIK, A</w:t>
            </w:r>
            <w:r>
              <w:rPr>
                <w:rFonts w:eastAsia="MS Mincho" w:cs="Calibri"/>
                <w:bCs/>
                <w:szCs w:val="22"/>
              </w:rPr>
              <w:t>.</w:t>
            </w:r>
            <w:r w:rsidRPr="00C56C87">
              <w:rPr>
                <w:rFonts w:eastAsia="MS Mincho" w:cs="Calibri"/>
                <w:bCs/>
                <w:szCs w:val="22"/>
              </w:rPr>
              <w:t xml:space="preserve"> (ur.). </w:t>
            </w:r>
            <w:r w:rsidRPr="008B75AA">
              <w:rPr>
                <w:rFonts w:eastAsia="MS Mincho" w:cs="Calibri"/>
                <w:bCs/>
                <w:szCs w:val="22"/>
              </w:rPr>
              <w:t>Big data, crime and social control</w:t>
            </w:r>
            <w:r w:rsidRPr="00DB4E1C">
              <w:rPr>
                <w:rFonts w:eastAsia="MS Mincho" w:cs="Calibri"/>
                <w:bCs/>
                <w:szCs w:val="22"/>
              </w:rPr>
              <w:t>.</w:t>
            </w:r>
            <w:r w:rsidRPr="00C56C87">
              <w:rPr>
                <w:rFonts w:eastAsia="MS Mincho" w:cs="Calibri"/>
                <w:bCs/>
                <w:szCs w:val="22"/>
              </w:rPr>
              <w:t xml:space="preserve"> London; New York: Routledge, Taylor &amp; Francis Group, 2019</w:t>
            </w:r>
            <w:r>
              <w:rPr>
                <w:rFonts w:eastAsia="MS Mincho" w:cs="Calibri"/>
                <w:bCs/>
                <w:szCs w:val="22"/>
              </w:rPr>
              <w:t>, s</w:t>
            </w:r>
            <w:r w:rsidRPr="00C56C87">
              <w:rPr>
                <w:rFonts w:eastAsia="MS Mincho" w:cs="Calibri"/>
                <w:bCs/>
                <w:szCs w:val="22"/>
              </w:rPr>
              <w:t>tr. 197-220</w:t>
            </w:r>
            <w:r>
              <w:rPr>
                <w:rFonts w:eastAsia="MS Mincho" w:cs="Calibri"/>
                <w:bCs/>
                <w:szCs w:val="22"/>
              </w:rPr>
              <w:t>.</w:t>
            </w:r>
          </w:p>
          <w:p w14:paraId="7D1DE890" w14:textId="77777777" w:rsidR="001E1C57" w:rsidRDefault="001E1C57" w:rsidP="001E1C57">
            <w:pPr>
              <w:autoSpaceDE w:val="0"/>
              <w:autoSpaceDN w:val="0"/>
              <w:adjustRightInd w:val="0"/>
              <w:rPr>
                <w:rFonts w:eastAsia="Times New Roman" w:cs="Calibri"/>
                <w:iCs/>
                <w:szCs w:val="22"/>
              </w:rPr>
            </w:pPr>
            <w:r w:rsidRPr="006C1F41">
              <w:rPr>
                <w:rFonts w:eastAsia="Times New Roman" w:cs="Calibri"/>
                <w:iCs/>
                <w:szCs w:val="22"/>
              </w:rPr>
              <w:t>[12</w:t>
            </w:r>
            <w:r w:rsidRPr="00E173C4">
              <w:rPr>
                <w:rFonts w:eastAsia="Times New Roman" w:cs="Calibri"/>
                <w:iCs/>
                <w:szCs w:val="22"/>
              </w:rPr>
              <w:t>]</w:t>
            </w:r>
            <w:r w:rsidRPr="006C1F41">
              <w:rPr>
                <w:rFonts w:eastAsia="Times New Roman" w:cs="Calibri"/>
                <w:iCs/>
                <w:szCs w:val="22"/>
              </w:rPr>
              <w:t xml:space="preserve"> </w:t>
            </w:r>
            <w:r w:rsidRPr="006E44B6">
              <w:rPr>
                <w:rFonts w:eastAsia="Times New Roman" w:cs="Calibri"/>
                <w:iCs/>
                <w:szCs w:val="22"/>
              </w:rPr>
              <w:t>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Testing the climate readiness of the international regime on</w:t>
            </w:r>
            <w:r w:rsidRPr="006E44B6">
              <w:rPr>
                <w:rFonts w:eastAsia="Times New Roman" w:cs="Calibri"/>
                <w:iCs/>
                <w:szCs w:val="22"/>
              </w:rPr>
              <w:t xml:space="preserve"> terrestrial protected areas?. v</w:t>
            </w:r>
            <w:r w:rsidRPr="006C1F41">
              <w:rPr>
                <w:rFonts w:eastAsia="Times New Roman" w:cs="Calibri"/>
                <w:iCs/>
                <w:szCs w:val="22"/>
              </w:rPr>
              <w:t>: MALJEAN-DUBOIS, Sandrine (ur.), PEEL, Jacqueline (ur.). Climate change and the testing of international law = Le droit international au défi des changements climatiques. Leiden; Boston: Brill Nijhoff, 2023.</w:t>
            </w:r>
          </w:p>
          <w:p w14:paraId="7F6FD279" w14:textId="77777777" w:rsidR="001E1C57" w:rsidRDefault="001E1C57" w:rsidP="001E1C57">
            <w:pPr>
              <w:autoSpaceDE w:val="0"/>
              <w:autoSpaceDN w:val="0"/>
              <w:adjustRightInd w:val="0"/>
              <w:rPr>
                <w:rFonts w:eastAsia="Times New Roman" w:cs="Calibri"/>
                <w:iCs/>
                <w:szCs w:val="22"/>
              </w:rPr>
            </w:pPr>
            <w:r>
              <w:rPr>
                <w:rFonts w:eastAsia="Times New Roman" w:cs="Calibri"/>
                <w:iCs/>
                <w:szCs w:val="22"/>
              </w:rPr>
              <w:t>[13</w:t>
            </w:r>
            <w:r w:rsidRPr="00E173C4">
              <w:rPr>
                <w:rFonts w:eastAsia="Times New Roman" w:cs="Calibri"/>
                <w:iCs/>
                <w:szCs w:val="22"/>
              </w:rPr>
              <w:t>]</w:t>
            </w:r>
            <w:r>
              <w:rPr>
                <w:rFonts w:eastAsia="Times New Roman" w:cs="Calibri"/>
                <w:iCs/>
                <w:szCs w:val="22"/>
              </w:rPr>
              <w:t xml:space="preserve"> </w:t>
            </w:r>
            <w:r w:rsidRPr="006C1F41">
              <w:rPr>
                <w:rFonts w:eastAsia="Times New Roman" w:cs="Calibri"/>
                <w:iCs/>
                <w:szCs w:val="22"/>
              </w:rPr>
              <w:t>KOVIČ DINE, Maša. Načelo medgeneracijskega sodelovanja v pravnem redu Evropske unije</w:t>
            </w:r>
            <w:r w:rsidRPr="006E44B6">
              <w:rPr>
                <w:rFonts w:eastAsia="Times New Roman" w:cs="Calibri"/>
                <w:iCs/>
                <w:szCs w:val="22"/>
              </w:rPr>
              <w:t>. v</w:t>
            </w:r>
            <w:r w:rsidRPr="006C1F41">
              <w:rPr>
                <w:rFonts w:eastAsia="Times New Roman" w:cs="Calibri"/>
                <w:iCs/>
                <w:szCs w:val="22"/>
              </w:rPr>
              <w:t>: DUGAR, Gregor (ur.). Vloga institucij EU in države pri zagotavljanju pravnega in ekonomskega varstva starejših. Ljubljana: Pravna fakulteta, Založba Pravne fakultete, 2022.</w:t>
            </w:r>
          </w:p>
          <w:p w14:paraId="7FEA5707" w14:textId="77777777" w:rsidR="001E1C57" w:rsidRDefault="001E1C57" w:rsidP="001E1C57">
            <w:pPr>
              <w:autoSpaceDE w:val="0"/>
              <w:autoSpaceDN w:val="0"/>
              <w:adjustRightInd w:val="0"/>
              <w:rPr>
                <w:rFonts w:eastAsia="Times New Roman" w:cs="Calibri"/>
                <w:iCs/>
                <w:szCs w:val="22"/>
              </w:rPr>
            </w:pPr>
            <w:r>
              <w:rPr>
                <w:rFonts w:eastAsia="Times New Roman" w:cs="Calibri"/>
                <w:iCs/>
                <w:szCs w:val="22"/>
              </w:rPr>
              <w:t>[14</w:t>
            </w:r>
            <w:r w:rsidRPr="00E173C4">
              <w:rPr>
                <w:rFonts w:eastAsia="Times New Roman" w:cs="Calibri"/>
                <w:iCs/>
                <w:szCs w:val="22"/>
              </w:rPr>
              <w:t>]</w:t>
            </w:r>
            <w:r>
              <w:rPr>
                <w:rFonts w:eastAsia="Times New Roman" w:cs="Calibri"/>
                <w:iCs/>
                <w:szCs w:val="22"/>
              </w:rPr>
              <w:t xml:space="preserve"> </w:t>
            </w:r>
            <w:r w:rsidRPr="006E44B6">
              <w:rPr>
                <w:rFonts w:eastAsia="Times New Roman" w:cs="Calibri"/>
                <w:iCs/>
                <w:szCs w:val="22"/>
              </w:rPr>
              <w:t xml:space="preserve">SANCIN, </w:t>
            </w:r>
            <w:r>
              <w:rPr>
                <w:rFonts w:eastAsia="Times New Roman" w:cs="Calibri"/>
                <w:iCs/>
                <w:szCs w:val="22"/>
              </w:rPr>
              <w:t>V</w:t>
            </w:r>
            <w:r w:rsidRPr="006E44B6">
              <w:rPr>
                <w:rFonts w:eastAsia="Times New Roman" w:cs="Calibri"/>
                <w:iCs/>
                <w:szCs w:val="22"/>
              </w:rPr>
              <w:t>., KOVIČ DINE, M</w:t>
            </w:r>
            <w:r w:rsidRPr="006C1F41">
              <w:rPr>
                <w:rFonts w:eastAsia="Times New Roman" w:cs="Calibri"/>
                <w:iCs/>
                <w:szCs w:val="22"/>
              </w:rPr>
              <w:t>.</w:t>
            </w:r>
            <w:r>
              <w:rPr>
                <w:rFonts w:eastAsia="Times New Roman" w:cs="Calibri"/>
                <w:iCs/>
                <w:szCs w:val="22"/>
              </w:rPr>
              <w:t>:</w:t>
            </w:r>
            <w:r w:rsidRPr="006C1F41">
              <w:rPr>
                <w:rFonts w:eastAsia="Times New Roman" w:cs="Calibri"/>
                <w:iCs/>
                <w:szCs w:val="22"/>
              </w:rPr>
              <w:t xml:space="preserve"> Emerging awareness of climate change liti</w:t>
            </w:r>
            <w:r w:rsidRPr="006E44B6">
              <w:rPr>
                <w:rFonts w:eastAsia="Times New Roman" w:cs="Calibri"/>
                <w:iCs/>
                <w:szCs w:val="22"/>
              </w:rPr>
              <w:t>gation in Slovenia. v</w:t>
            </w:r>
            <w:r w:rsidRPr="006C1F41">
              <w:rPr>
                <w:rFonts w:eastAsia="Times New Roman" w:cs="Calibri"/>
                <w:iCs/>
                <w:szCs w:val="22"/>
              </w:rPr>
              <w:t>: SINDICO, Francesco (ur.), MBENGUE, Makane Moïse (ur.). Comparative climate change litigation : beyond the usual suspects. Cham: Springer, cop. 2021.</w:t>
            </w:r>
          </w:p>
          <w:p w14:paraId="5C19971C" w14:textId="77777777" w:rsidR="001E1C57" w:rsidRPr="00E173C4" w:rsidRDefault="001E1C57" w:rsidP="001E1C57">
            <w:pPr>
              <w:rPr>
                <w:rFonts w:eastAsia="MS Mincho" w:cs="Calibri"/>
                <w:bCs/>
                <w:szCs w:val="22"/>
              </w:rPr>
            </w:pPr>
            <w:r>
              <w:rPr>
                <w:rFonts w:eastAsia="MS Mincho" w:cs="Calibri"/>
                <w:bCs/>
                <w:szCs w:val="22"/>
              </w:rPr>
              <w:t>[15</w:t>
            </w:r>
            <w:r w:rsidRPr="008B75AA">
              <w:rPr>
                <w:rFonts w:eastAsia="MS Mincho" w:cs="Calibri"/>
                <w:bCs/>
                <w:szCs w:val="22"/>
              </w:rPr>
              <w:t>]</w:t>
            </w:r>
            <w:r>
              <w:rPr>
                <w:rFonts w:eastAsia="MS Mincho" w:cs="Calibri"/>
                <w:bCs/>
                <w:szCs w:val="22"/>
              </w:rPr>
              <w:t xml:space="preserve"> </w:t>
            </w:r>
            <w:r w:rsidRPr="00D511C2">
              <w:rPr>
                <w:rFonts w:eastAsia="MS Mincho" w:cs="Calibri"/>
                <w:bCs/>
                <w:szCs w:val="22"/>
              </w:rPr>
              <w:t xml:space="preserve">SANCIN, </w:t>
            </w:r>
            <w:r>
              <w:rPr>
                <w:rFonts w:eastAsia="MS Mincho" w:cs="Calibri"/>
                <w:bCs/>
                <w:szCs w:val="22"/>
              </w:rPr>
              <w:t>V.</w:t>
            </w:r>
            <w:r w:rsidRPr="00D511C2">
              <w:rPr>
                <w:rFonts w:eastAsia="MS Mincho" w:cs="Calibri"/>
                <w:bCs/>
                <w:szCs w:val="22"/>
              </w:rPr>
              <w:t>, KOVIČ DINE, M</w:t>
            </w:r>
            <w:r w:rsidRPr="00E173C4">
              <w:rPr>
                <w:rFonts w:eastAsia="MS Mincho" w:cs="Calibri"/>
                <w:bCs/>
                <w:szCs w:val="22"/>
              </w:rPr>
              <w:t>.</w:t>
            </w:r>
            <w:r>
              <w:rPr>
                <w:rFonts w:eastAsia="MS Mincho" w:cs="Calibri"/>
                <w:bCs/>
                <w:szCs w:val="22"/>
              </w:rPr>
              <w:t>:</w:t>
            </w:r>
            <w:r w:rsidRPr="00E173C4">
              <w:rPr>
                <w:rFonts w:eastAsia="MS Mincho" w:cs="Calibri"/>
                <w:bCs/>
                <w:szCs w:val="22"/>
              </w:rPr>
              <w:t> Praktikum za mednarodno javno pravo. Ljubljana: Litteralis, 2015. </w:t>
            </w:r>
          </w:p>
          <w:p w14:paraId="1F1DA1C5" w14:textId="77777777" w:rsidR="001E1C57" w:rsidRPr="00806D5F" w:rsidRDefault="001E1C57" w:rsidP="00806D5F">
            <w:pPr>
              <w:autoSpaceDE w:val="0"/>
              <w:autoSpaceDN w:val="0"/>
              <w:adjustRightInd w:val="0"/>
              <w:rPr>
                <w:rFonts w:cs="Arial"/>
                <w:b/>
                <w:szCs w:val="22"/>
              </w:rPr>
            </w:pPr>
          </w:p>
          <w:p w14:paraId="7A450315" w14:textId="77777777" w:rsidR="00806D5F" w:rsidRPr="00DD2079" w:rsidRDefault="00806D5F" w:rsidP="00806D5F">
            <w:pPr>
              <w:autoSpaceDE w:val="0"/>
              <w:autoSpaceDN w:val="0"/>
              <w:adjustRightInd w:val="0"/>
              <w:rPr>
                <w:rFonts w:eastAsia="MS Mincho" w:cs="Calibri"/>
                <w:bCs/>
                <w:szCs w:val="22"/>
              </w:rPr>
            </w:pPr>
          </w:p>
          <w:p w14:paraId="44942E4C" w14:textId="77777777" w:rsidR="00806D5F" w:rsidRPr="00806D5F" w:rsidRDefault="00806D5F" w:rsidP="00806D5F">
            <w:pPr>
              <w:autoSpaceDE w:val="0"/>
              <w:autoSpaceDN w:val="0"/>
              <w:adjustRightInd w:val="0"/>
              <w:jc w:val="both"/>
              <w:rPr>
                <w:rFonts w:cs="Calibri"/>
                <w:b/>
                <w:bCs/>
                <w:szCs w:val="22"/>
              </w:rPr>
            </w:pPr>
            <w:r w:rsidRPr="00DD2079">
              <w:rPr>
                <w:rFonts w:cs="Calibri"/>
                <w:b/>
                <w:bCs/>
                <w:szCs w:val="22"/>
              </w:rPr>
              <w:t>doc. dr. Maruša Tekavčič Veber:</w:t>
            </w:r>
          </w:p>
          <w:p w14:paraId="03C0E238"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[1] SANCIN, V., TEKAVČIČ VEBER, M.:</w:t>
            </w:r>
            <w:r w:rsidRPr="00106947">
              <w:rPr>
                <w:rFonts w:cs="Calibri"/>
                <w:szCs w:val="22"/>
              </w:rPr>
              <w:t xml:space="preserve"> Osnove sistema Združenih narodov, Založba Univerze v Ljubljani, Ljubljana 2025.</w:t>
            </w:r>
          </w:p>
          <w:p w14:paraId="19B33232" w14:textId="77777777" w:rsidR="00806D5F" w:rsidRPr="00806D5F" w:rsidRDefault="00806D5F" w:rsidP="00806D5F">
            <w:pPr>
              <w:autoSpaceDE w:val="0"/>
              <w:autoSpaceDN w:val="0"/>
              <w:adjustRightInd w:val="0"/>
              <w:rPr>
                <w:rFonts w:eastAsia="MS Mincho" w:cs="Calibri"/>
                <w:bCs/>
                <w:szCs w:val="22"/>
              </w:rPr>
            </w:pPr>
            <w:r w:rsidRPr="00DD2079">
              <w:rPr>
                <w:rFonts w:eastAsia="MS Mincho" w:cs="Calibri"/>
                <w:bCs/>
                <w:szCs w:val="22"/>
              </w:rPr>
              <w:t>[2] TEKAVČIČ VEBER, M.</w:t>
            </w:r>
            <w:r w:rsidRPr="00806D5F">
              <w:rPr>
                <w:rFonts w:eastAsia="MS Mincho" w:cs="Calibri"/>
                <w:bCs/>
                <w:szCs w:val="22"/>
              </w:rPr>
              <w:t>: Palestinsko-izraelski konflikt: mednarodno pravo - quo vadis?. Teorija in praksa : revija za družbena vprašanja, 2024, letn. 61, št. 1, str. 7-40;</w:t>
            </w:r>
          </w:p>
          <w:p w14:paraId="0A997651" w14:textId="77777777" w:rsidR="00806D5F" w:rsidRPr="00806D5F" w:rsidRDefault="00806D5F" w:rsidP="00806D5F">
            <w:pPr>
              <w:autoSpaceDE w:val="0"/>
              <w:autoSpaceDN w:val="0"/>
              <w:adjustRightInd w:val="0"/>
              <w:rPr>
                <w:rFonts w:eastAsia="MS Mincho" w:cs="Calibri"/>
                <w:bCs/>
                <w:szCs w:val="22"/>
              </w:rPr>
            </w:pPr>
            <w:r w:rsidRPr="00DD2079">
              <w:rPr>
                <w:rFonts w:eastAsia="MS Mincho" w:cs="Calibri"/>
                <w:bCs/>
                <w:szCs w:val="22"/>
              </w:rPr>
              <w:t xml:space="preserve">[3] </w:t>
            </w:r>
            <w:bookmarkStart w:id="0" w:name="rec4"/>
            <w:bookmarkEnd w:id="0"/>
            <w:r w:rsidRPr="00DD2079">
              <w:rPr>
                <w:rFonts w:eastAsia="MS Mincho" w:cs="Calibri"/>
                <w:bCs/>
                <w:szCs w:val="22"/>
              </w:rPr>
              <w:t>TEKAVČIČ VEBER, M.</w:t>
            </w:r>
            <w:r w:rsidRPr="00806D5F">
              <w:rPr>
                <w:rFonts w:eastAsia="MS Mincho" w:cs="Calibri"/>
                <w:bCs/>
                <w:szCs w:val="22"/>
              </w:rPr>
              <w:t>: Artificial intelligence and humanitarian assistance: reassessing the role of state consent. Zbornik znanstvenih razprav, 2024, letn. 84, str. 217-253;</w:t>
            </w:r>
          </w:p>
          <w:p w14:paraId="3C5CC636"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[4] TEKAVČIČ VEBER, M.: International organizations and AI-supported humanitarian aid: navigating through the applicable (data protection) legal regimes. International and Comparative Law Review. 2024, vol. 24, iss. 2, str. 54-83.</w:t>
            </w:r>
          </w:p>
          <w:p w14:paraId="4E2CD5B7"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 xml:space="preserve">[5] TEKAVČIČ VEBER, M.: Obveznosti </w:t>
            </w:r>
            <w:r w:rsidRPr="00806D5F">
              <w:rPr>
                <w:rFonts w:eastAsia="MS Mincho" w:cs="Calibri"/>
                <w:bCs/>
                <w:i/>
                <w:iCs/>
                <w:szCs w:val="22"/>
              </w:rPr>
              <w:t>erga omnes (partes)</w:t>
            </w:r>
            <w:r w:rsidRPr="00806D5F">
              <w:rPr>
                <w:rFonts w:eastAsia="MS Mincho" w:cs="Calibri"/>
                <w:bCs/>
                <w:szCs w:val="22"/>
              </w:rPr>
              <w:t xml:space="preserve"> v sodni praksi Meddržavnega sodišča: zadeva Barcelona Traction kot vodilo razvoja mednarodnega prava. Pravnik: revija za pravno teorijo in prakso. 2022, letn. 77, št. 3/4, str. 153-180, 193-194.</w:t>
            </w:r>
          </w:p>
          <w:p w14:paraId="290FADFD"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 xml:space="preserve">[6] </w:t>
            </w:r>
            <w:bookmarkStart w:id="1" w:name="rec6"/>
            <w:bookmarkEnd w:id="1"/>
            <w:r w:rsidRPr="00806D5F">
              <w:rPr>
                <w:rFonts w:eastAsia="MS Mincho" w:cs="Calibri"/>
                <w:bCs/>
                <w:szCs w:val="22"/>
              </w:rPr>
              <w:t>TEKAVČIČ VEBER, M.: Safeguarding fundamental values of the EU through the adoption of sanctions. University of Vienna law review, 2020, vol. 4, no. 1, str. 37-78.</w:t>
            </w:r>
          </w:p>
          <w:p w14:paraId="59929AF3"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[7] TEKAVČIČ VEBER, M.: The protection of community interests through countermeasures adopted by international organizations. V: ZYBERI, G. (ur.). Protecting community interests through international law. Cambridge; Antwerp; Chicago: Intersentia,2021, str. 127-162.</w:t>
            </w:r>
          </w:p>
          <w:p w14:paraId="684F4686"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[8] TEKAVČIČ VEBER, M.: The making of custom through sanctions of international organisations. V: DROUBI, S. (ur.), D'ASPREMONT, J. (ur.). International organisations, non-state actors, and the formation of customary international law. Manchester: Manchester University Press, 2020, str. 284-305.</w:t>
            </w:r>
          </w:p>
          <w:p w14:paraId="4451723F"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[9] TEKAVČIČ VEBER, M.: Mednarodnopravni vidiki sprejema sankcij s strani Evropske unije proti tretjim državam. Pravnik : revija za pravno teorijo in prakso. 2016, letn. 71, št. 9/10, str. 717-742.</w:t>
            </w:r>
          </w:p>
          <w:p w14:paraId="0398C67D"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[10] TEKAVČIČ VEBER, M., KOVIČ DINE, M.: Big data and economic cyber espionage: an international law perspective. V: ZAVRŠNIK, A. (ur.). Big data, crime and social control. London; New York: Routledge, Taylor &amp; Francis Group, 2019, str. 197-220.</w:t>
            </w:r>
          </w:p>
          <w:p w14:paraId="17035698"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[11] KOROŠEC, T., TEKAVČIČ VEBER, M.: Pravica do samoobrambe zoper nedržavne akterje v luči boja proti terorizmu. Zbornik znanstvenih razprav, 2016, letn. 76, str. 41-68, 268-269.</w:t>
            </w:r>
          </w:p>
          <w:p w14:paraId="761DCCFF" w14:textId="77777777" w:rsidR="00806D5F" w:rsidRPr="00806D5F" w:rsidRDefault="00806D5F" w:rsidP="00806D5F">
            <w:pPr>
              <w:autoSpaceDE w:val="0"/>
              <w:autoSpaceDN w:val="0"/>
              <w:adjustRightInd w:val="0"/>
              <w:rPr>
                <w:rFonts w:eastAsia="MS Mincho" w:cs="Calibri"/>
                <w:bCs/>
                <w:szCs w:val="22"/>
              </w:rPr>
            </w:pPr>
            <w:r w:rsidRPr="00806D5F">
              <w:rPr>
                <w:rFonts w:eastAsia="MS Mincho" w:cs="Calibri"/>
                <w:bCs/>
                <w:szCs w:val="22"/>
              </w:rPr>
              <w:t>[12] KOROŠEC, T., TEKAVČIČ VEBER, M.: The right of self-defence in international law: contemporary developments in the context of the fight against terrorism. V: LORENZMEIER, S. (ur.), MILER, D. (ur.). The new law: suggestions for reforms and improvements of existing legal norms and principles, 1st ed. Baden-Baden: Nomos, 2018, str. 243-273.</w:t>
            </w:r>
          </w:p>
          <w:p w14:paraId="5B523788" w14:textId="42CEAF18" w:rsidR="006C4C8D" w:rsidRDefault="00806D5F">
            <w:r w:rsidRPr="00806D5F" w:rsidDel="00806D5F">
              <w:t xml:space="preserve"> </w:t>
            </w:r>
          </w:p>
        </w:tc>
      </w:tr>
    </w:tbl>
    <w:p w14:paraId="55FE6A71" w14:textId="77777777" w:rsidR="00A86C1F" w:rsidRDefault="00A86C1F"/>
    <w:sectPr w:rsidR="00A86C1F"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9589F"/>
    <w:multiLevelType w:val="multilevel"/>
    <w:tmpl w:val="47865460"/>
    <w:lvl w:ilvl="0">
      <w:start w:val="1"/>
      <w:numFmt w:val="decimal"/>
      <w:pStyle w:val="literatu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3397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EB"/>
    <w:rsid w:val="000141A7"/>
    <w:rsid w:val="000401B9"/>
    <w:rsid w:val="00090302"/>
    <w:rsid w:val="000D7E81"/>
    <w:rsid w:val="00106947"/>
    <w:rsid w:val="001402F8"/>
    <w:rsid w:val="00161343"/>
    <w:rsid w:val="001E1C57"/>
    <w:rsid w:val="002116B5"/>
    <w:rsid w:val="00241413"/>
    <w:rsid w:val="00262B0B"/>
    <w:rsid w:val="002B7CE7"/>
    <w:rsid w:val="002E15C9"/>
    <w:rsid w:val="00336864"/>
    <w:rsid w:val="003B6369"/>
    <w:rsid w:val="003F443F"/>
    <w:rsid w:val="00434998"/>
    <w:rsid w:val="004350FB"/>
    <w:rsid w:val="004447FF"/>
    <w:rsid w:val="0049772F"/>
    <w:rsid w:val="004E3BCD"/>
    <w:rsid w:val="004E6CD2"/>
    <w:rsid w:val="00553CDF"/>
    <w:rsid w:val="005C2560"/>
    <w:rsid w:val="005D1C50"/>
    <w:rsid w:val="00601559"/>
    <w:rsid w:val="00615EA0"/>
    <w:rsid w:val="006345EB"/>
    <w:rsid w:val="0069778E"/>
    <w:rsid w:val="006C4C8D"/>
    <w:rsid w:val="00752599"/>
    <w:rsid w:val="00762C94"/>
    <w:rsid w:val="007720CE"/>
    <w:rsid w:val="007E45C0"/>
    <w:rsid w:val="00806D5F"/>
    <w:rsid w:val="00815C9A"/>
    <w:rsid w:val="00832376"/>
    <w:rsid w:val="008552FE"/>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86C1F"/>
    <w:rsid w:val="00AA0A0F"/>
    <w:rsid w:val="00AD6198"/>
    <w:rsid w:val="00B13427"/>
    <w:rsid w:val="00B41EA5"/>
    <w:rsid w:val="00B959B9"/>
    <w:rsid w:val="00BA4AE7"/>
    <w:rsid w:val="00BD197C"/>
    <w:rsid w:val="00BD2556"/>
    <w:rsid w:val="00BD7F5C"/>
    <w:rsid w:val="00BF33AC"/>
    <w:rsid w:val="00C407B2"/>
    <w:rsid w:val="00C716FC"/>
    <w:rsid w:val="00CE5856"/>
    <w:rsid w:val="00D22E4F"/>
    <w:rsid w:val="00D25C88"/>
    <w:rsid w:val="00D94EC2"/>
    <w:rsid w:val="00DC7D1B"/>
    <w:rsid w:val="00DD2079"/>
    <w:rsid w:val="00DD5004"/>
    <w:rsid w:val="00E32890"/>
    <w:rsid w:val="00E554A7"/>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741C"/>
  <w15:chartTrackingRefBased/>
  <w15:docId w15:val="{78F4EC50-71AE-4BF4-9065-403B1BD3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BalloonText">
    <w:name w:val="Balloon Text"/>
    <w:basedOn w:val="Normal"/>
    <w:link w:val="BalloonTextChar"/>
    <w:uiPriority w:val="99"/>
    <w:semiHidden/>
    <w:unhideWhenUsed/>
    <w:rsid w:val="00806D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5F"/>
    <w:rPr>
      <w:rFonts w:ascii="Segoe UI" w:hAnsi="Segoe UI" w:cs="Segoe UI"/>
      <w:sz w:val="18"/>
      <w:szCs w:val="18"/>
    </w:rPr>
  </w:style>
  <w:style w:type="paragraph" w:customStyle="1" w:styleId="literatura">
    <w:name w:val="literatura"/>
    <w:basedOn w:val="Normal"/>
    <w:rsid w:val="00806D5F"/>
    <w:pPr>
      <w:numPr>
        <w:numId w:val="1"/>
      </w:numPr>
      <w:tabs>
        <w:tab w:val="left" w:pos="284"/>
      </w:tabs>
      <w:spacing w:after="0" w:line="240" w:lineRule="auto"/>
      <w:ind w:left="568" w:hanging="284"/>
      <w:jc w:val="both"/>
    </w:pPr>
    <w:rPr>
      <w:rFonts w:ascii="Times New Roman" w:eastAsia="Times New Roman" w:hAnsi="Times New Roman" w:cs="Times New Roman"/>
      <w:lang w:eastAsia="sl-SI"/>
    </w:rPr>
  </w:style>
  <w:style w:type="character" w:styleId="CommentReference">
    <w:name w:val="annotation reference"/>
    <w:uiPriority w:val="99"/>
    <w:semiHidden/>
    <w:unhideWhenUsed/>
    <w:rsid w:val="00806D5F"/>
    <w:rPr>
      <w:sz w:val="16"/>
      <w:szCs w:val="16"/>
    </w:rPr>
  </w:style>
  <w:style w:type="paragraph" w:styleId="NormalWeb">
    <w:name w:val="Normal (Web)"/>
    <w:basedOn w:val="Normal"/>
    <w:uiPriority w:val="99"/>
    <w:unhideWhenUsed/>
    <w:rsid w:val="00DD207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09E7F29E924D4E8E4BCC1CF137BAFC" ma:contentTypeVersion="0" ma:contentTypeDescription="Ustvari nov dokument." ma:contentTypeScope="" ma:versionID="c44ed0307daf783690a0635af5f8c11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E6842-0C0C-4EF1-BA33-176C7D32B52D}">
  <ds:schemaRefs>
    <ds:schemaRef ds:uri="http://schemas.openxmlformats.org/officeDocument/2006/bibliography"/>
  </ds:schemaRefs>
</ds:datastoreItem>
</file>

<file path=customXml/itemProps2.xml><?xml version="1.0" encoding="utf-8"?>
<ds:datastoreItem xmlns:ds="http://schemas.openxmlformats.org/officeDocument/2006/customXml" ds:itemID="{29C5A470-39E6-4CC8-BC09-77ABD2EF88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BEF204-C02A-4F3C-B168-E58F6437305C}">
  <ds:schemaRefs>
    <ds:schemaRef ds:uri="http://schemas.microsoft.com/sharepoint/v3/contenttype/forms"/>
  </ds:schemaRefs>
</ds:datastoreItem>
</file>

<file path=customXml/itemProps4.xml><?xml version="1.0" encoding="utf-8"?>
<ds:datastoreItem xmlns:ds="http://schemas.openxmlformats.org/officeDocument/2006/customXml" ds:itemID="{63F3E73B-B5B3-43A8-80B1-231ED10C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2867</Words>
  <Characters>16343</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2</cp:revision>
  <dcterms:created xsi:type="dcterms:W3CDTF">2025-05-09T11:24:00Z</dcterms:created>
  <dcterms:modified xsi:type="dcterms:W3CDTF">2025-08-19T08:16:00Z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0x0101003609E7F29E924D4E8E4BCC1CF137BAFC</vt:lpwstr>
  </property>
</Properties>
</file>