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D0EF" w14:textId="77777777" w:rsidR="00423105" w:rsidRDefault="00F13428">
      <w:pPr>
        <w:pStyle w:val="Naslov1"/>
      </w:pPr>
      <w:r>
        <w:t>Neposredna demokracija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423105" w14:paraId="134DF5C1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57A51353" w14:textId="77777777" w:rsidR="00423105" w:rsidRDefault="00F13428">
            <w:r>
              <w:t>Predmet:</w:t>
            </w:r>
          </w:p>
        </w:tc>
        <w:tc>
          <w:tcPr>
            <w:tcW w:w="3500" w:type="pct"/>
          </w:tcPr>
          <w:p w14:paraId="72E34153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Neposredna demokracija</w:t>
            </w:r>
          </w:p>
        </w:tc>
      </w:tr>
      <w:tr w:rsidR="00423105" w14:paraId="683CE681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30D9B678" w14:textId="77777777" w:rsidR="00423105" w:rsidRDefault="00F13428">
            <w:r>
              <w:t>Course title:</w:t>
            </w:r>
          </w:p>
        </w:tc>
        <w:tc>
          <w:tcPr>
            <w:tcW w:w="3500" w:type="pct"/>
          </w:tcPr>
          <w:p w14:paraId="2B39ECC4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 democracy</w:t>
            </w:r>
          </w:p>
        </w:tc>
      </w:tr>
      <w:tr w:rsidR="00423105" w14:paraId="7B0AD57A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0363D1C3" w14:textId="77777777" w:rsidR="00423105" w:rsidRDefault="00F13428">
            <w:r>
              <w:t>Članica nosilka/UL Member:</w:t>
            </w:r>
          </w:p>
        </w:tc>
        <w:tc>
          <w:tcPr>
            <w:tcW w:w="3500" w:type="pct"/>
          </w:tcPr>
          <w:p w14:paraId="2772D2B9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69AC9417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423105" w14:paraId="69420D23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1CBA306B" w14:textId="77777777" w:rsidR="00423105" w:rsidRDefault="00F13428">
            <w:r>
              <w:t>Študijski programi in stopnja</w:t>
            </w:r>
          </w:p>
        </w:tc>
        <w:tc>
          <w:tcPr>
            <w:tcW w:w="1500" w:type="pct"/>
          </w:tcPr>
          <w:p w14:paraId="2DE0283A" w14:textId="77777777" w:rsidR="00423105" w:rsidRDefault="00F13428">
            <w:r>
              <w:t>Študijska smer</w:t>
            </w:r>
          </w:p>
        </w:tc>
        <w:tc>
          <w:tcPr>
            <w:tcW w:w="500" w:type="pct"/>
          </w:tcPr>
          <w:p w14:paraId="0B740B1F" w14:textId="77777777" w:rsidR="00423105" w:rsidRDefault="00F13428">
            <w:r>
              <w:t>Letnik</w:t>
            </w:r>
          </w:p>
        </w:tc>
        <w:tc>
          <w:tcPr>
            <w:tcW w:w="500" w:type="pct"/>
          </w:tcPr>
          <w:p w14:paraId="7DDB53C3" w14:textId="77777777" w:rsidR="00423105" w:rsidRDefault="00F13428">
            <w:r>
              <w:t>Semestri</w:t>
            </w:r>
          </w:p>
        </w:tc>
        <w:tc>
          <w:tcPr>
            <w:tcW w:w="500" w:type="pct"/>
          </w:tcPr>
          <w:p w14:paraId="6229662F" w14:textId="77777777" w:rsidR="00423105" w:rsidRDefault="00F13428">
            <w:r>
              <w:t>Izbirnost</w:t>
            </w:r>
          </w:p>
        </w:tc>
      </w:tr>
      <w:tr w:rsidR="00423105" w14:paraId="7A929727" w14:textId="77777777" w:rsidTr="00423105">
        <w:tc>
          <w:tcPr>
            <w:tcW w:w="2000" w:type="pct"/>
          </w:tcPr>
          <w:p w14:paraId="25FEDF6B" w14:textId="77777777" w:rsidR="00423105" w:rsidRDefault="00F13428">
            <w:r>
              <w:t>Pravo, tretja stopnja, doktorski</w:t>
            </w:r>
          </w:p>
        </w:tc>
        <w:tc>
          <w:tcPr>
            <w:tcW w:w="1500" w:type="pct"/>
          </w:tcPr>
          <w:p w14:paraId="3DCDCE55" w14:textId="77777777" w:rsidR="00423105" w:rsidRDefault="00F13428">
            <w:r>
              <w:t xml:space="preserve">Ni členitve (študijski program)                </w:t>
            </w:r>
          </w:p>
        </w:tc>
        <w:tc>
          <w:tcPr>
            <w:tcW w:w="750" w:type="pct"/>
          </w:tcPr>
          <w:p w14:paraId="1B717124" w14:textId="77777777" w:rsidR="00423105" w:rsidRDefault="00F13428">
            <w:r>
              <w:t>1. letnik</w:t>
            </w:r>
          </w:p>
        </w:tc>
        <w:tc>
          <w:tcPr>
            <w:tcW w:w="750" w:type="pct"/>
          </w:tcPr>
          <w:p w14:paraId="6A0E38E2" w14:textId="77777777" w:rsidR="00423105" w:rsidRDefault="00F13428">
            <w:r>
              <w:t>2. semester</w:t>
            </w:r>
          </w:p>
        </w:tc>
        <w:tc>
          <w:tcPr>
            <w:tcW w:w="750" w:type="pct"/>
          </w:tcPr>
          <w:p w14:paraId="3EA928E4" w14:textId="77777777" w:rsidR="00423105" w:rsidRDefault="00F13428">
            <w:r>
              <w:t>izbirni</w:t>
            </w:r>
          </w:p>
        </w:tc>
      </w:tr>
    </w:tbl>
    <w:p w14:paraId="64BDBBAF" w14:textId="77777777" w:rsidR="00423105" w:rsidRDefault="0042310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423105" w14:paraId="17F48EBF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5DD626FA" w14:textId="77777777" w:rsidR="00423105" w:rsidRDefault="00F13428">
            <w:r>
              <w:t>Univerzitetna koda predmeta/University course code:</w:t>
            </w:r>
          </w:p>
        </w:tc>
        <w:tc>
          <w:tcPr>
            <w:tcW w:w="2250" w:type="pct"/>
          </w:tcPr>
          <w:p w14:paraId="7BA22F11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0044305</w:t>
            </w:r>
          </w:p>
        </w:tc>
      </w:tr>
      <w:tr w:rsidR="00423105" w14:paraId="6583FD5F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1C14FAB3" w14:textId="77777777" w:rsidR="00423105" w:rsidRDefault="00F13428">
            <w:r>
              <w:t>Koda učne enote na članici/UL Member course code:</w:t>
            </w:r>
          </w:p>
        </w:tc>
        <w:tc>
          <w:tcPr>
            <w:tcW w:w="2250" w:type="pct"/>
          </w:tcPr>
          <w:p w14:paraId="6BE2592D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14:paraId="139C0041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423105" w14:paraId="368B61E1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62C26FD0" w14:textId="77777777" w:rsidR="00423105" w:rsidRDefault="00F13428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5848733A" w14:textId="77777777" w:rsidR="00423105" w:rsidRDefault="00F13428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6E794ACA" w14:textId="77777777" w:rsidR="00423105" w:rsidRDefault="00F13428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3E37159A" w14:textId="77777777" w:rsidR="00423105" w:rsidRDefault="00F13428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62449647" w14:textId="77777777" w:rsidR="00423105" w:rsidRDefault="00F13428">
            <w:pPr>
              <w:keepNext/>
              <w:jc w:val="center"/>
            </w:pPr>
            <w:r>
              <w:t>Druge oblike študija</w:t>
            </w:r>
            <w:r>
              <w:br/>
              <w:t>/Other forms of study</w:t>
            </w:r>
          </w:p>
        </w:tc>
        <w:tc>
          <w:tcPr>
            <w:tcW w:w="800" w:type="pct"/>
          </w:tcPr>
          <w:p w14:paraId="7C45F9C1" w14:textId="77777777" w:rsidR="00423105" w:rsidRDefault="00F13428">
            <w:pPr>
              <w:keepNext/>
              <w:jc w:val="center"/>
            </w:pPr>
            <w:r>
              <w:t>Samostojno delo</w:t>
            </w:r>
            <w:r>
              <w:br/>
              <w:t>/Individual student work</w:t>
            </w:r>
          </w:p>
        </w:tc>
        <w:tc>
          <w:tcPr>
            <w:tcW w:w="200" w:type="pct"/>
          </w:tcPr>
          <w:p w14:paraId="238B6AC2" w14:textId="77777777" w:rsidR="00423105" w:rsidRDefault="00F13428">
            <w:pPr>
              <w:keepNext/>
              <w:jc w:val="center"/>
            </w:pPr>
            <w:r>
              <w:t>ECTS</w:t>
            </w:r>
          </w:p>
        </w:tc>
      </w:tr>
      <w:tr w:rsidR="00423105" w14:paraId="2789FD73" w14:textId="77777777">
        <w:tc>
          <w:tcPr>
            <w:tcW w:w="0" w:type="auto"/>
          </w:tcPr>
          <w:p w14:paraId="1C36C091" w14:textId="77777777" w:rsidR="00423105" w:rsidRDefault="00F13428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7B864D9E" w14:textId="77777777" w:rsidR="00423105" w:rsidRDefault="00F13428">
            <w:pPr>
              <w:keepNext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A5CA985" w14:textId="77777777" w:rsidR="00423105" w:rsidRDefault="00F13428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FE04EB8" w14:textId="77777777" w:rsidR="00423105" w:rsidRDefault="00F13428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B38EF44" w14:textId="77777777" w:rsidR="00423105" w:rsidRDefault="00F13428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23FD873" w14:textId="77777777" w:rsidR="00423105" w:rsidRDefault="00F13428">
            <w:pPr>
              <w:keepNext/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565F77F6" w14:textId="77777777" w:rsidR="00423105" w:rsidRDefault="00F13428">
            <w:pPr>
              <w:keepNext/>
              <w:jc w:val="center"/>
            </w:pPr>
            <w:r>
              <w:t>5</w:t>
            </w:r>
          </w:p>
        </w:tc>
      </w:tr>
    </w:tbl>
    <w:p w14:paraId="73CCD986" w14:textId="77777777" w:rsidR="00423105" w:rsidRDefault="0042310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423105" w14:paraId="23C77030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4C1E517" w14:textId="77777777" w:rsidR="00423105" w:rsidRDefault="00F13428">
            <w:r>
              <w:t>Nosilec predmeta/Lecturer:</w:t>
            </w:r>
          </w:p>
        </w:tc>
        <w:tc>
          <w:tcPr>
            <w:tcW w:w="3400" w:type="pct"/>
          </w:tcPr>
          <w:p w14:paraId="6D7E5D1F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Igor Kaučič                </w:t>
            </w:r>
          </w:p>
        </w:tc>
      </w:tr>
    </w:tbl>
    <w:p w14:paraId="3527BA14" w14:textId="77777777" w:rsidR="00423105" w:rsidRDefault="0042310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423105" w14:paraId="650358BE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01A6689" w14:textId="77777777" w:rsidR="00423105" w:rsidRDefault="00F13428">
            <w:r>
              <w:t>Vrsta predmeta/Course type:</w:t>
            </w:r>
          </w:p>
        </w:tc>
        <w:tc>
          <w:tcPr>
            <w:tcW w:w="3400" w:type="pct"/>
          </w:tcPr>
          <w:p w14:paraId="1FDC645F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izbirni/Optional subject</w:t>
            </w:r>
          </w:p>
        </w:tc>
      </w:tr>
    </w:tbl>
    <w:p w14:paraId="4C704EC2" w14:textId="77777777" w:rsidR="00423105" w:rsidRDefault="0042310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423105" w14:paraId="10EC1751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0B8A4B3C" w14:textId="77777777" w:rsidR="00423105" w:rsidRDefault="00F13428">
            <w:r>
              <w:t>Jeziki/Languages:</w:t>
            </w:r>
          </w:p>
        </w:tc>
        <w:tc>
          <w:tcPr>
            <w:tcW w:w="1600" w:type="pct"/>
          </w:tcPr>
          <w:p w14:paraId="5374FFB5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4A82A476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  <w:tr w:rsidR="00423105" w14:paraId="7C87FEE5" w14:textId="77777777" w:rsidTr="00423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C4726BD" w14:textId="77777777" w:rsidR="00423105" w:rsidRDefault="00423105"/>
        </w:tc>
        <w:tc>
          <w:tcPr>
            <w:tcW w:w="1600" w:type="pct"/>
          </w:tcPr>
          <w:p w14:paraId="60A5EFDC" w14:textId="77777777" w:rsidR="00423105" w:rsidRDefault="00F1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58EFA489" w14:textId="77777777" w:rsidR="00423105" w:rsidRDefault="0042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4AA350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23105" w14:paraId="331ABC98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267DAF4" w14:textId="77777777" w:rsidR="00423105" w:rsidRDefault="00F13428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55478088" w14:textId="77777777" w:rsidR="00423105" w:rsidRDefault="00F13428">
            <w:r>
              <w:t>Prerequisites:</w:t>
            </w:r>
          </w:p>
        </w:tc>
      </w:tr>
      <w:tr w:rsidR="00423105" w14:paraId="3C46BF7B" w14:textId="77777777">
        <w:tc>
          <w:tcPr>
            <w:tcW w:w="0" w:type="auto"/>
          </w:tcPr>
          <w:p w14:paraId="23C1EF3C" w14:textId="77777777" w:rsidR="00423105" w:rsidRDefault="00F13428">
            <w:r>
              <w:t>Znanje ustavnega procesnega prava na ravni univerzitetnega in magistrskega študija se predpostavlja.</w:t>
            </w:r>
          </w:p>
        </w:tc>
        <w:tc>
          <w:tcPr>
            <w:tcW w:w="0" w:type="auto"/>
          </w:tcPr>
          <w:p w14:paraId="6203865E" w14:textId="77777777" w:rsidR="00423105" w:rsidRDefault="00F13428">
            <w:r>
              <w:t>Knowledge of constitutional procedural law on the level of university and master studies is required.</w:t>
            </w:r>
          </w:p>
        </w:tc>
      </w:tr>
    </w:tbl>
    <w:p w14:paraId="012CAAC7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23105" w14:paraId="48842EB1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9A046A5" w14:textId="77777777" w:rsidR="00423105" w:rsidRDefault="00F13428">
            <w:r>
              <w:t>Vsebina:</w:t>
            </w:r>
          </w:p>
        </w:tc>
        <w:tc>
          <w:tcPr>
            <w:tcW w:w="2500" w:type="pct"/>
          </w:tcPr>
          <w:p w14:paraId="04C3042F" w14:textId="77777777" w:rsidR="00423105" w:rsidRDefault="00F13428">
            <w:r>
              <w:t>Content (Syllabus outline):</w:t>
            </w:r>
          </w:p>
        </w:tc>
      </w:tr>
      <w:tr w:rsidR="00423105" w14:paraId="755510E7" w14:textId="77777777">
        <w:tc>
          <w:tcPr>
            <w:tcW w:w="0" w:type="auto"/>
          </w:tcPr>
          <w:p w14:paraId="1200138F" w14:textId="77777777" w:rsidR="00423105" w:rsidRDefault="00F13428">
            <w:r>
              <w:t>1. Neposredna demokracija v sodobnih političnih sistemih</w:t>
            </w:r>
          </w:p>
          <w:p w14:paraId="27FB0940" w14:textId="77777777" w:rsidR="00423105" w:rsidRDefault="00F13428">
            <w:r>
              <w:t>2. Zbor državljanov</w:t>
            </w:r>
          </w:p>
          <w:p w14:paraId="649EADD8" w14:textId="77777777" w:rsidR="00423105" w:rsidRDefault="00F13428">
            <w:r>
              <w:t>3. Referendum</w:t>
            </w:r>
          </w:p>
          <w:p w14:paraId="36803041" w14:textId="77777777" w:rsidR="00423105" w:rsidRDefault="00F13428">
            <w:r>
              <w:t>4. Ljudska iniciativa</w:t>
            </w:r>
          </w:p>
          <w:p w14:paraId="6EC7FFF5" w14:textId="77777777" w:rsidR="00423105" w:rsidRDefault="00F13428">
            <w:r>
              <w:t>5. Pravica do peticije</w:t>
            </w:r>
          </w:p>
          <w:p w14:paraId="09B34BC0" w14:textId="77777777" w:rsidR="00423105" w:rsidRDefault="00F13428">
            <w:r>
              <w:t>6. Druge oblike neposredne demokracije</w:t>
            </w:r>
          </w:p>
        </w:tc>
        <w:tc>
          <w:tcPr>
            <w:tcW w:w="0" w:type="auto"/>
          </w:tcPr>
          <w:p w14:paraId="3E6DAE09" w14:textId="77777777" w:rsidR="00423105" w:rsidRDefault="00F13428">
            <w:r>
              <w:t>1. Direct democracy in contemporary political systems</w:t>
            </w:r>
          </w:p>
          <w:p w14:paraId="10BA6C55" w14:textId="77777777" w:rsidR="00423105" w:rsidRDefault="00F13428">
            <w:r>
              <w:t>2. Assembly of citizens</w:t>
            </w:r>
          </w:p>
          <w:p w14:paraId="5ADAC348" w14:textId="77777777" w:rsidR="00423105" w:rsidRDefault="00F13428">
            <w:r>
              <w:t>3. Referendum</w:t>
            </w:r>
          </w:p>
          <w:p w14:paraId="15828929" w14:textId="77777777" w:rsidR="00423105" w:rsidRDefault="00F13428">
            <w:r>
              <w:t>4. Popular initiative</w:t>
            </w:r>
          </w:p>
          <w:p w14:paraId="4BD4A1DE" w14:textId="77777777" w:rsidR="00423105" w:rsidRDefault="00F13428">
            <w:r>
              <w:t>5. Right to petition</w:t>
            </w:r>
          </w:p>
          <w:p w14:paraId="37528F6D" w14:textId="77777777" w:rsidR="00423105" w:rsidRDefault="00F13428">
            <w:r>
              <w:t>6. Other forms of direct democracy</w:t>
            </w:r>
          </w:p>
        </w:tc>
      </w:tr>
    </w:tbl>
    <w:p w14:paraId="5B76529F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23105" w14:paraId="424D18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54C7C65" w14:textId="77777777" w:rsidR="00423105" w:rsidRDefault="00F13428">
            <w:r>
              <w:t>Temeljna literatura in viri/Readings:</w:t>
            </w:r>
          </w:p>
        </w:tc>
      </w:tr>
      <w:tr w:rsidR="00423105" w14:paraId="2A21E9C8" w14:textId="77777777">
        <w:tc>
          <w:tcPr>
            <w:tcW w:w="0" w:type="auto"/>
          </w:tcPr>
          <w:p w14:paraId="22AB9FCB" w14:textId="77777777" w:rsidR="00423105" w:rsidRDefault="00F13428">
            <w:r>
              <w:t>Igor Kaučič: Referendum in sprememba ustave, Ljubljana 1994</w:t>
            </w:r>
          </w:p>
          <w:p w14:paraId="2D1DEE96" w14:textId="77777777" w:rsidR="00423105" w:rsidRDefault="00F13428">
            <w:r>
              <w:t>Igor Kaučič (ur.): Zakonodajni referendum, Pravna ureditev in praksa v Sloveniji, Ljubljana 2010</w:t>
            </w:r>
          </w:p>
          <w:p w14:paraId="7056C10A" w14:textId="77777777" w:rsidR="00423105" w:rsidRDefault="00F13428">
            <w:r>
              <w:t>David Butler, Austin Ranney: Referendums around the World, 1994</w:t>
            </w:r>
          </w:p>
          <w:p w14:paraId="4B388096" w14:textId="77777777" w:rsidR="00423105" w:rsidRDefault="00F13428">
            <w:r>
              <w:t>Silvano Mockli: Instrument of Direct Democracy in the Member States of the Council of Europe, Council of Europe, Parliamentary Assembly – Committee on Parlamentary and Public Relations, 1995</w:t>
            </w:r>
          </w:p>
          <w:p w14:paraId="51A9E052" w14:textId="77777777" w:rsidR="00423105" w:rsidRDefault="00F13428">
            <w:r>
              <w:lastRenderedPageBreak/>
              <w:t>Michael Gallagher, Pier Vincenzo Uleri (ur.): The Referendum Experience in Europe, New York 1996</w:t>
            </w:r>
          </w:p>
          <w:p w14:paraId="7D0F7DDB" w14:textId="77777777" w:rsidR="00423105" w:rsidRDefault="00F13428">
            <w:r>
              <w:t>Komentar Ustave Republike Slovenije, dopolnitev komentarja – A (ur. L. Šturm), Ljubljana 2011</w:t>
            </w:r>
          </w:p>
          <w:p w14:paraId="565C331E" w14:textId="77777777" w:rsidR="00423105" w:rsidRDefault="00F13428">
            <w:r>
              <w:t>Matt Qvortup: A comparative Study of Referendums, Government by the People, Manchester, New York 2005</w:t>
            </w:r>
          </w:p>
        </w:tc>
      </w:tr>
    </w:tbl>
    <w:p w14:paraId="72125600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23105" w14:paraId="2D549E51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447A2E9E" w14:textId="77777777" w:rsidR="00423105" w:rsidRDefault="00F13428">
            <w:r>
              <w:t>Cilji in kompetence:</w:t>
            </w:r>
          </w:p>
        </w:tc>
        <w:tc>
          <w:tcPr>
            <w:tcW w:w="2500" w:type="pct"/>
          </w:tcPr>
          <w:p w14:paraId="1E5B3D8A" w14:textId="77777777" w:rsidR="00423105" w:rsidRDefault="00F13428">
            <w:r>
              <w:t>Objectives and competences:</w:t>
            </w:r>
          </w:p>
        </w:tc>
      </w:tr>
      <w:tr w:rsidR="00423105" w14:paraId="371835FA" w14:textId="77777777">
        <w:tc>
          <w:tcPr>
            <w:tcW w:w="0" w:type="auto"/>
          </w:tcPr>
          <w:p w14:paraId="224A5255" w14:textId="77777777" w:rsidR="00423105" w:rsidRDefault="00F13428">
            <w:r>
              <w:t>Cilj predmeta je poglobljen študij institucij neposredne demokracije, zlasti referenduma, ljudske iniciative in drugih oblik sodelovanja volivcev pri sprejemanju pomembnih političnih odločitev.</w:t>
            </w:r>
          </w:p>
        </w:tc>
        <w:tc>
          <w:tcPr>
            <w:tcW w:w="0" w:type="auto"/>
          </w:tcPr>
          <w:p w14:paraId="1845569B" w14:textId="77777777" w:rsidR="00423105" w:rsidRDefault="00F13428">
            <w:r>
              <w:t>The course aims at the in-depth study of direct democracy, in particular referendums. popular initiatives, other means of participation of voters in adopting important political decisions.</w:t>
            </w:r>
          </w:p>
        </w:tc>
      </w:tr>
    </w:tbl>
    <w:p w14:paraId="36DB7E1B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23105" w14:paraId="0FC056FB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D8193D3" w14:textId="77777777" w:rsidR="00423105" w:rsidRDefault="00F13428">
            <w:r>
              <w:t>Predvideni študijski rezultati:</w:t>
            </w:r>
          </w:p>
        </w:tc>
        <w:tc>
          <w:tcPr>
            <w:tcW w:w="2500" w:type="pct"/>
          </w:tcPr>
          <w:p w14:paraId="0F10BA1B" w14:textId="77777777" w:rsidR="00423105" w:rsidRDefault="00F13428">
            <w:r>
              <w:t>Intended learning outcomes:</w:t>
            </w:r>
          </w:p>
        </w:tc>
      </w:tr>
      <w:tr w:rsidR="00423105" w14:paraId="7512AE79" w14:textId="77777777">
        <w:tc>
          <w:tcPr>
            <w:tcW w:w="0" w:type="auto"/>
          </w:tcPr>
          <w:p w14:paraId="60D5A55C" w14:textId="77777777" w:rsidR="00423105" w:rsidRDefault="00F13428">
            <w:r>
              <w:t>Znanje in razumevanje:</w:t>
            </w:r>
          </w:p>
          <w:p w14:paraId="7F35B3E1" w14:textId="77777777" w:rsidR="00423105" w:rsidRDefault="00F13428">
            <w:r>
              <w:t>Študent pridobi sposobnost znanstvene analize teh institucij, vrednotenja različnih teoretičnih stališč, uporabo primerjalno pravne metode, kritične analize sodne prakse in prakse uporabe zlasti referenduma in pisnega oblikovanja zahtevnejše argumentacije.</w:t>
            </w:r>
          </w:p>
        </w:tc>
        <w:tc>
          <w:tcPr>
            <w:tcW w:w="0" w:type="auto"/>
          </w:tcPr>
          <w:p w14:paraId="4A42A970" w14:textId="77777777" w:rsidR="00423105" w:rsidRDefault="00F13428">
            <w:r>
              <w:t>Knowledge and understanding:</w:t>
            </w:r>
          </w:p>
          <w:p w14:paraId="7A6AFA56" w14:textId="77777777" w:rsidR="00423105" w:rsidRDefault="00F13428">
            <w:r>
              <w:t>Student acquires an ability of: a scientific analysis of selected institutions and topics of constitutional law, assessment of different theoretical positions, application of comparative legal method, critical analysis of court case-law and written formulation of exacting legal argumentation.</w:t>
            </w:r>
          </w:p>
        </w:tc>
      </w:tr>
    </w:tbl>
    <w:p w14:paraId="68BC5443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23105" w14:paraId="5F4C1BBF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BF9755E" w14:textId="77777777" w:rsidR="00423105" w:rsidRDefault="00F13428">
            <w:r>
              <w:t>Metode poučevanja in učenja:</w:t>
            </w:r>
          </w:p>
        </w:tc>
        <w:tc>
          <w:tcPr>
            <w:tcW w:w="2500" w:type="pct"/>
          </w:tcPr>
          <w:p w14:paraId="4C18679F" w14:textId="77777777" w:rsidR="00423105" w:rsidRDefault="00F13428">
            <w:r>
              <w:t>Learning and teaching methods:</w:t>
            </w:r>
          </w:p>
        </w:tc>
      </w:tr>
      <w:tr w:rsidR="00423105" w14:paraId="131513A8" w14:textId="77777777">
        <w:tc>
          <w:tcPr>
            <w:tcW w:w="0" w:type="auto"/>
          </w:tcPr>
          <w:p w14:paraId="05D15830" w14:textId="77777777" w:rsidR="00423105" w:rsidRDefault="00F13428">
            <w:r>
              <w:t>Predavanja – predavajo se izbrane teme, ki se določijo posebej glede na razvoj teorije, zakonodaje in sodne prakse.</w:t>
            </w:r>
          </w:p>
          <w:p w14:paraId="4B30EF32" w14:textId="77777777" w:rsidR="00423105" w:rsidRDefault="00F13428">
            <w:r>
              <w:t>Seminarske vaje – na seminarskih vajah študentje predstavijo vsebino seminarske naloge.</w:t>
            </w:r>
          </w:p>
          <w:p w14:paraId="2F552F20" w14:textId="77777777" w:rsidR="00423105" w:rsidRDefault="00F13428">
            <w:r>
              <w:t>Drugo – izdelava seminarske naloge, ki obravnava zahtevnejši ustavnopravni problem.</w:t>
            </w:r>
          </w:p>
          <w:p w14:paraId="71FDAFEB" w14:textId="77777777" w:rsidR="00423105" w:rsidRDefault="00F13428">
            <w:r>
              <w:t>Individualni študij za izpit.</w:t>
            </w:r>
          </w:p>
        </w:tc>
        <w:tc>
          <w:tcPr>
            <w:tcW w:w="0" w:type="auto"/>
          </w:tcPr>
          <w:p w14:paraId="2C52CDA6" w14:textId="77777777" w:rsidR="00423105" w:rsidRDefault="00F13428">
            <w:r>
              <w:t>Lectures – selected themes, determined by taking into account theoretical and normative developments and evolution of case-law, are discussed.</w:t>
            </w:r>
          </w:p>
          <w:p w14:paraId="7FA815C5" w14:textId="77777777" w:rsidR="00423105" w:rsidRDefault="00F13428">
            <w:r>
              <w:t>Seminars – students present a seminar paper.</w:t>
            </w:r>
          </w:p>
          <w:p w14:paraId="6E5816CE" w14:textId="77777777" w:rsidR="00423105" w:rsidRDefault="00F13428">
            <w:r>
              <w:t>Other – preparation of an extensive seminar paper on an exacting issue in the field of constitutional law.</w:t>
            </w:r>
          </w:p>
          <w:p w14:paraId="446FE0EF" w14:textId="77777777" w:rsidR="00423105" w:rsidRDefault="00F13428">
            <w:r>
              <w:t>Individual studying and preparation for the exam.</w:t>
            </w:r>
          </w:p>
        </w:tc>
      </w:tr>
    </w:tbl>
    <w:p w14:paraId="2A9FDDEA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423105" w14:paraId="5527093C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5211113B" w14:textId="77777777" w:rsidR="00423105" w:rsidRDefault="00F13428">
            <w:r>
              <w:t>Načini ocenjevanja:</w:t>
            </w:r>
          </w:p>
        </w:tc>
        <w:tc>
          <w:tcPr>
            <w:tcW w:w="600" w:type="pct"/>
          </w:tcPr>
          <w:p w14:paraId="73CED940" w14:textId="77777777" w:rsidR="00423105" w:rsidRDefault="00F13428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61715DC4" w14:textId="77777777" w:rsidR="00423105" w:rsidRDefault="00F13428">
            <w:r>
              <w:t>Assessment:</w:t>
            </w:r>
          </w:p>
        </w:tc>
      </w:tr>
      <w:tr w:rsidR="00423105" w14:paraId="22302A1B" w14:textId="77777777">
        <w:tc>
          <w:tcPr>
            <w:tcW w:w="0" w:type="auto"/>
          </w:tcPr>
          <w:p w14:paraId="559A2540" w14:textId="77777777" w:rsidR="00423105" w:rsidRDefault="00F13428">
            <w:r>
              <w:t>Način (pisni izpit, ustno izpraševanje, naloge, projekt): Pisni ali ustni izpit. Za pristop k izpitu se zahteva uspešno izdelana in predstavljena seminarska naloga. Predstavitev se lahko opravi na seminarskih vajah ali pred učiteljem ocenjevalcem.</w:t>
            </w:r>
          </w:p>
        </w:tc>
        <w:tc>
          <w:tcPr>
            <w:tcW w:w="0" w:type="auto"/>
          </w:tcPr>
          <w:p w14:paraId="1593FC04" w14:textId="77777777" w:rsidR="00423105" w:rsidRDefault="00F13428">
            <w:pPr>
              <w:keepNext/>
              <w:jc w:val="center"/>
            </w:pPr>
            <w:r>
              <w:t>100,00 %</w:t>
            </w:r>
          </w:p>
        </w:tc>
        <w:tc>
          <w:tcPr>
            <w:tcW w:w="0" w:type="auto"/>
          </w:tcPr>
          <w:p w14:paraId="6937F147" w14:textId="77777777" w:rsidR="00423105" w:rsidRDefault="00F13428">
            <w:r>
              <w:t>Type (examination, oral, coursework, project): Written or oral exam. To access the exam, a successfully prepared and presented seminar paper is required. Student may present it at the seminars or before the assessing professor.</w:t>
            </w:r>
          </w:p>
        </w:tc>
      </w:tr>
    </w:tbl>
    <w:p w14:paraId="2CCC0435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23105" w14:paraId="12F581F0" w14:textId="77777777" w:rsidTr="00423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9CA3A26" w14:textId="77777777" w:rsidR="00423105" w:rsidRDefault="00F13428">
            <w:r>
              <w:t>Ocenjevalna lestvica:</w:t>
            </w:r>
          </w:p>
        </w:tc>
        <w:tc>
          <w:tcPr>
            <w:tcW w:w="2500" w:type="pct"/>
          </w:tcPr>
          <w:p w14:paraId="4E2595ED" w14:textId="77777777" w:rsidR="00423105" w:rsidRDefault="00F13428">
            <w:r>
              <w:t>Grading system:</w:t>
            </w:r>
          </w:p>
        </w:tc>
      </w:tr>
      <w:tr w:rsidR="00423105" w14:paraId="63E0BE79" w14:textId="77777777">
        <w:tc>
          <w:tcPr>
            <w:tcW w:w="0" w:type="auto"/>
          </w:tcPr>
          <w:p w14:paraId="6F8689AF" w14:textId="77777777" w:rsidR="00423105" w:rsidRDefault="00423105"/>
        </w:tc>
        <w:tc>
          <w:tcPr>
            <w:tcW w:w="0" w:type="auto"/>
          </w:tcPr>
          <w:p w14:paraId="175CF2F1" w14:textId="77777777" w:rsidR="00423105" w:rsidRDefault="00423105"/>
        </w:tc>
      </w:tr>
    </w:tbl>
    <w:p w14:paraId="3FF80744" w14:textId="77777777" w:rsidR="00423105" w:rsidRDefault="0042310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23105" w14:paraId="6E29C4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93B9758" w14:textId="77777777" w:rsidR="00423105" w:rsidRDefault="00F13428">
            <w:r>
              <w:t>Reference nosilca/Lecturer's references:</w:t>
            </w:r>
          </w:p>
        </w:tc>
      </w:tr>
      <w:tr w:rsidR="00423105" w14:paraId="3792647B" w14:textId="77777777">
        <w:tc>
          <w:tcPr>
            <w:tcW w:w="0" w:type="auto"/>
          </w:tcPr>
          <w:p w14:paraId="53538363" w14:textId="77777777" w:rsidR="00423105" w:rsidRDefault="00F13428">
            <w:r>
              <w:t>1. KAUČIČ, Igor: Referendum in sprememba ustave, Ljubljana 1994.</w:t>
            </w:r>
          </w:p>
          <w:p w14:paraId="45E44442" w14:textId="77777777" w:rsidR="00423105" w:rsidRDefault="00F13428">
            <w:r>
              <w:t>2. KAUČIČ, Igor: Pravna ureditev zakonodajnega referenduma, ZZR, letnik LIV/1994, str. 185-202.</w:t>
            </w:r>
          </w:p>
          <w:p w14:paraId="611B62E7" w14:textId="77777777" w:rsidR="00423105" w:rsidRDefault="00F13428">
            <w:r>
              <w:t>3. KAUČIČ, Igor: Neposredna demokracija v ustavnem sistemu Republike Slovenije, Zbornik referatov 2. strokovnega srečanja pravnikov s področja javnega prava, 1996, str. 43-61.</w:t>
            </w:r>
          </w:p>
          <w:p w14:paraId="72AE2A55" w14:textId="77777777" w:rsidR="00423105" w:rsidRDefault="00F13428">
            <w:r>
              <w:t>4. KAUČIČ, Igor: Zakonodajni referendum s suspenzivnim učinkom – de lege ferenda, ZZR, letnik LX/2000, str. 159-178.</w:t>
            </w:r>
          </w:p>
          <w:p w14:paraId="1E9AE6BB" w14:textId="77777777" w:rsidR="00423105" w:rsidRDefault="00F13428">
            <w:r>
              <w:t>5. KAUČIČ, Igor: Ustavna ureditev referenduma o mednarodnih povezavah, ZZR, letnik LXIII/2002, str. 221-249.</w:t>
            </w:r>
          </w:p>
        </w:tc>
      </w:tr>
    </w:tbl>
    <w:p w14:paraId="0625A6A4" w14:textId="77777777" w:rsidR="00F13428" w:rsidRDefault="00F13428"/>
    <w:sectPr w:rsidR="0000000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23105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871B8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28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94FD"/>
  <w15:chartTrackingRefBased/>
  <w15:docId w15:val="{2A518737-74E7-4F43-8531-2FEE3F5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Marentič, Maja</cp:lastModifiedBy>
  <cp:revision>2</cp:revision>
  <dcterms:created xsi:type="dcterms:W3CDTF">2025-05-09T08:08:00Z</dcterms:created>
  <dcterms:modified xsi:type="dcterms:W3CDTF">2025-05-09T08:08:00Z</dcterms:modified>
</cp:coreProperties>
</file>