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29DD" w14:textId="77777777" w:rsidR="008B2A27" w:rsidRDefault="00AD74A9">
      <w:pPr>
        <w:pStyle w:val="Naslov1"/>
      </w:pPr>
      <w:r>
        <w:t>Odgovornost nosilcev javnih funkcij</w:t>
      </w:r>
      <w:r>
        <w:br/>
      </w:r>
      <w:r>
        <w:br/>
        <w:t>Učni načrt predmeta/Course syllabus</w:t>
      </w:r>
    </w:p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2890"/>
        <w:gridCol w:w="6743"/>
      </w:tblGrid>
      <w:tr w:rsidR="008B2A27" w14:paraId="0E546264" w14:textId="77777777" w:rsidTr="008B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1338B9E9" w14:textId="77777777" w:rsidR="008B2A27" w:rsidRDefault="00AD74A9">
            <w:r>
              <w:t>Predmet:</w:t>
            </w:r>
          </w:p>
        </w:tc>
        <w:tc>
          <w:tcPr>
            <w:tcW w:w="3500" w:type="pct"/>
          </w:tcPr>
          <w:p w14:paraId="0240E316" w14:textId="77777777" w:rsidR="008B2A27" w:rsidRDefault="00AD7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Odgovornost nosilcev javnih funkcij</w:t>
            </w:r>
          </w:p>
        </w:tc>
      </w:tr>
      <w:tr w:rsidR="008B2A27" w14:paraId="6ED7CDE6" w14:textId="77777777" w:rsidTr="008B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564F4DED" w14:textId="77777777" w:rsidR="008B2A27" w:rsidRDefault="00AD74A9">
            <w:r>
              <w:t>Course title:</w:t>
            </w:r>
          </w:p>
        </w:tc>
        <w:tc>
          <w:tcPr>
            <w:tcW w:w="3500" w:type="pct"/>
          </w:tcPr>
          <w:p w14:paraId="3B6D6566" w14:textId="77777777" w:rsidR="008B2A27" w:rsidRDefault="00AD7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Responsibility of public officials</w:t>
            </w:r>
          </w:p>
        </w:tc>
      </w:tr>
      <w:tr w:rsidR="008B2A27" w14:paraId="77DAF697" w14:textId="77777777" w:rsidTr="008B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pct"/>
          </w:tcPr>
          <w:p w14:paraId="6802D435" w14:textId="77777777" w:rsidR="008B2A27" w:rsidRDefault="00AD74A9">
            <w:r>
              <w:t>Članica nosilka/UL Member:</w:t>
            </w:r>
          </w:p>
        </w:tc>
        <w:tc>
          <w:tcPr>
            <w:tcW w:w="3500" w:type="pct"/>
          </w:tcPr>
          <w:p w14:paraId="4F93E592" w14:textId="77777777" w:rsidR="008B2A27" w:rsidRDefault="00AD7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 PF</w:t>
            </w:r>
          </w:p>
        </w:tc>
      </w:tr>
    </w:tbl>
    <w:p w14:paraId="2632F5EB" w14:textId="77777777" w:rsidR="008B2A27" w:rsidRDefault="008B2A2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3589"/>
        <w:gridCol w:w="2625"/>
        <w:gridCol w:w="1181"/>
        <w:gridCol w:w="1181"/>
        <w:gridCol w:w="1062"/>
      </w:tblGrid>
      <w:tr w:rsidR="008B2A27" w14:paraId="6D57D0C6" w14:textId="77777777" w:rsidTr="008B2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0" w:type="pct"/>
          </w:tcPr>
          <w:p w14:paraId="0C1103FA" w14:textId="77777777" w:rsidR="008B2A27" w:rsidRDefault="00AD74A9">
            <w:r>
              <w:t>Študijski programi in stopnja</w:t>
            </w:r>
          </w:p>
        </w:tc>
        <w:tc>
          <w:tcPr>
            <w:tcW w:w="1500" w:type="pct"/>
          </w:tcPr>
          <w:p w14:paraId="03D24BDD" w14:textId="77777777" w:rsidR="008B2A27" w:rsidRDefault="00AD74A9">
            <w:r>
              <w:t>Študijska smer</w:t>
            </w:r>
          </w:p>
        </w:tc>
        <w:tc>
          <w:tcPr>
            <w:tcW w:w="500" w:type="pct"/>
          </w:tcPr>
          <w:p w14:paraId="35B5200C" w14:textId="77777777" w:rsidR="008B2A27" w:rsidRDefault="00AD74A9">
            <w:r>
              <w:t>Letnik</w:t>
            </w:r>
          </w:p>
        </w:tc>
        <w:tc>
          <w:tcPr>
            <w:tcW w:w="500" w:type="pct"/>
          </w:tcPr>
          <w:p w14:paraId="009B4022" w14:textId="77777777" w:rsidR="008B2A27" w:rsidRDefault="00AD74A9">
            <w:r>
              <w:t>Semestri</w:t>
            </w:r>
          </w:p>
        </w:tc>
        <w:tc>
          <w:tcPr>
            <w:tcW w:w="500" w:type="pct"/>
          </w:tcPr>
          <w:p w14:paraId="5EF80EAC" w14:textId="77777777" w:rsidR="008B2A27" w:rsidRDefault="00AD74A9">
            <w:r>
              <w:t>Izbirnost</w:t>
            </w:r>
          </w:p>
        </w:tc>
      </w:tr>
      <w:tr w:rsidR="008B2A27" w14:paraId="7761398F" w14:textId="77777777" w:rsidTr="008B2A27">
        <w:tc>
          <w:tcPr>
            <w:tcW w:w="2000" w:type="pct"/>
          </w:tcPr>
          <w:p w14:paraId="5CF11DA2" w14:textId="77777777" w:rsidR="008B2A27" w:rsidRDefault="00AD74A9">
            <w:r>
              <w:t>Pravo, tretja stopnja, doktorski</w:t>
            </w:r>
          </w:p>
        </w:tc>
        <w:tc>
          <w:tcPr>
            <w:tcW w:w="1500" w:type="pct"/>
          </w:tcPr>
          <w:p w14:paraId="290ACAA9" w14:textId="77777777" w:rsidR="008B2A27" w:rsidRDefault="00AD74A9">
            <w:r>
              <w:t xml:space="preserve">Ni členitve (študijski program)                </w:t>
            </w:r>
          </w:p>
        </w:tc>
        <w:tc>
          <w:tcPr>
            <w:tcW w:w="750" w:type="pct"/>
          </w:tcPr>
          <w:p w14:paraId="1E0D8412" w14:textId="77777777" w:rsidR="008B2A27" w:rsidRDefault="00AD74A9">
            <w:r>
              <w:t>1. letnik</w:t>
            </w:r>
          </w:p>
        </w:tc>
        <w:tc>
          <w:tcPr>
            <w:tcW w:w="750" w:type="pct"/>
          </w:tcPr>
          <w:p w14:paraId="079075BE" w14:textId="77777777" w:rsidR="008B2A27" w:rsidRDefault="00AD74A9">
            <w:r>
              <w:t>2. semester</w:t>
            </w:r>
          </w:p>
        </w:tc>
        <w:tc>
          <w:tcPr>
            <w:tcW w:w="750" w:type="pct"/>
          </w:tcPr>
          <w:p w14:paraId="4C01AD46" w14:textId="77777777" w:rsidR="008B2A27" w:rsidRDefault="00AD74A9">
            <w:r>
              <w:t>izbirni</w:t>
            </w:r>
          </w:p>
        </w:tc>
      </w:tr>
    </w:tbl>
    <w:p w14:paraId="67EA08B3" w14:textId="77777777" w:rsidR="008B2A27" w:rsidRDefault="008B2A27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5298"/>
        <w:gridCol w:w="4335"/>
      </w:tblGrid>
      <w:tr w:rsidR="008B2A27" w14:paraId="66AD9F91" w14:textId="77777777" w:rsidTr="008B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185CAEA5" w14:textId="77777777" w:rsidR="008B2A27" w:rsidRDefault="00AD74A9">
            <w:r>
              <w:t>Univerzitetna koda predmeta/University course code:</w:t>
            </w:r>
          </w:p>
        </w:tc>
        <w:tc>
          <w:tcPr>
            <w:tcW w:w="2250" w:type="pct"/>
          </w:tcPr>
          <w:p w14:paraId="36A4ADD5" w14:textId="77777777" w:rsidR="008B2A27" w:rsidRDefault="00AD7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0043975</w:t>
            </w:r>
          </w:p>
        </w:tc>
      </w:tr>
      <w:tr w:rsidR="008B2A27" w14:paraId="3EB2B658" w14:textId="77777777" w:rsidTr="008B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pct"/>
          </w:tcPr>
          <w:p w14:paraId="2DCF59B0" w14:textId="77777777" w:rsidR="008B2A27" w:rsidRDefault="00AD74A9">
            <w:r>
              <w:t>Koda učne enote na članici/UL Member course code:</w:t>
            </w:r>
          </w:p>
        </w:tc>
        <w:tc>
          <w:tcPr>
            <w:tcW w:w="2250" w:type="pct"/>
          </w:tcPr>
          <w:p w14:paraId="06B090E1" w14:textId="77777777" w:rsidR="008B2A27" w:rsidRDefault="00AD7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14:paraId="690A270E" w14:textId="77777777" w:rsidR="008B2A27" w:rsidRDefault="008B2A2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1475"/>
        <w:gridCol w:w="1475"/>
        <w:gridCol w:w="1475"/>
        <w:gridCol w:w="1476"/>
        <w:gridCol w:w="1476"/>
        <w:gridCol w:w="1476"/>
        <w:gridCol w:w="785"/>
      </w:tblGrid>
      <w:tr w:rsidR="008B2A27" w14:paraId="035A7BA3" w14:textId="77777777" w:rsidTr="008B2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0" w:type="pct"/>
          </w:tcPr>
          <w:p w14:paraId="4589432A" w14:textId="77777777" w:rsidR="008B2A27" w:rsidRDefault="00AD74A9">
            <w:pPr>
              <w:keepNext/>
              <w:jc w:val="center"/>
            </w:pPr>
            <w:r>
              <w:t>Predavanja</w:t>
            </w:r>
            <w:r>
              <w:br/>
              <w:t>/Lectures</w:t>
            </w:r>
          </w:p>
        </w:tc>
        <w:tc>
          <w:tcPr>
            <w:tcW w:w="800" w:type="pct"/>
          </w:tcPr>
          <w:p w14:paraId="3DE27E7F" w14:textId="77777777" w:rsidR="008B2A27" w:rsidRDefault="00AD74A9">
            <w:pPr>
              <w:keepNext/>
              <w:jc w:val="center"/>
            </w:pPr>
            <w:r>
              <w:t>Seminar</w:t>
            </w:r>
            <w:r>
              <w:br/>
              <w:t>/Seminar</w:t>
            </w:r>
          </w:p>
        </w:tc>
        <w:tc>
          <w:tcPr>
            <w:tcW w:w="800" w:type="pct"/>
          </w:tcPr>
          <w:p w14:paraId="351B989E" w14:textId="77777777" w:rsidR="008B2A27" w:rsidRDefault="00AD74A9">
            <w:pPr>
              <w:keepNext/>
              <w:jc w:val="center"/>
            </w:pPr>
            <w:r>
              <w:t>Vaje</w:t>
            </w:r>
            <w:r>
              <w:br/>
              <w:t>/Tutorials</w:t>
            </w:r>
          </w:p>
        </w:tc>
        <w:tc>
          <w:tcPr>
            <w:tcW w:w="800" w:type="pct"/>
          </w:tcPr>
          <w:p w14:paraId="7EBAAE00" w14:textId="77777777" w:rsidR="008B2A27" w:rsidRDefault="00AD74A9">
            <w:pPr>
              <w:keepNext/>
              <w:jc w:val="center"/>
            </w:pPr>
            <w:r>
              <w:t>Klinične vaje</w:t>
            </w:r>
            <w:r>
              <w:br/>
              <w:t>/Clinical tutorials</w:t>
            </w:r>
          </w:p>
        </w:tc>
        <w:tc>
          <w:tcPr>
            <w:tcW w:w="800" w:type="pct"/>
          </w:tcPr>
          <w:p w14:paraId="5AB23693" w14:textId="77777777" w:rsidR="008B2A27" w:rsidRDefault="00AD74A9">
            <w:pPr>
              <w:keepNext/>
              <w:jc w:val="center"/>
            </w:pPr>
            <w:r>
              <w:t>Druge oblike študija</w:t>
            </w:r>
            <w:r>
              <w:br/>
            </w:r>
            <w:r>
              <w:t>/Other forms of study</w:t>
            </w:r>
          </w:p>
        </w:tc>
        <w:tc>
          <w:tcPr>
            <w:tcW w:w="800" w:type="pct"/>
          </w:tcPr>
          <w:p w14:paraId="01E499EC" w14:textId="77777777" w:rsidR="008B2A27" w:rsidRDefault="00AD74A9">
            <w:pPr>
              <w:keepNext/>
              <w:jc w:val="center"/>
            </w:pPr>
            <w:r>
              <w:t>Samostojno delo</w:t>
            </w:r>
            <w:r>
              <w:br/>
              <w:t>/Individual student work</w:t>
            </w:r>
          </w:p>
        </w:tc>
        <w:tc>
          <w:tcPr>
            <w:tcW w:w="200" w:type="pct"/>
          </w:tcPr>
          <w:p w14:paraId="39F19128" w14:textId="77777777" w:rsidR="008B2A27" w:rsidRDefault="00AD74A9">
            <w:pPr>
              <w:keepNext/>
              <w:jc w:val="center"/>
            </w:pPr>
            <w:r>
              <w:t>ECTS</w:t>
            </w:r>
          </w:p>
        </w:tc>
      </w:tr>
      <w:tr w:rsidR="008B2A27" w14:paraId="6E277AD8" w14:textId="77777777">
        <w:tc>
          <w:tcPr>
            <w:tcW w:w="0" w:type="auto"/>
          </w:tcPr>
          <w:p w14:paraId="4145C700" w14:textId="77777777" w:rsidR="008B2A27" w:rsidRDefault="00AD74A9">
            <w:pPr>
              <w:keepNext/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CF019FA" w14:textId="77777777" w:rsidR="008B2A27" w:rsidRDefault="00AD74A9">
            <w:pPr>
              <w:keepNext/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2215088" w14:textId="77777777" w:rsidR="008B2A27" w:rsidRDefault="00AD74A9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231B3A8A" w14:textId="77777777" w:rsidR="008B2A27" w:rsidRDefault="00AD74A9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66A17E65" w14:textId="77777777" w:rsidR="008B2A27" w:rsidRDefault="00AD74A9">
            <w:pPr>
              <w:keepNext/>
              <w:jc w:val="center"/>
            </w:pPr>
            <w:r>
              <w:t>0</w:t>
            </w:r>
          </w:p>
        </w:tc>
        <w:tc>
          <w:tcPr>
            <w:tcW w:w="0" w:type="auto"/>
          </w:tcPr>
          <w:p w14:paraId="5C7AE6B8" w14:textId="77777777" w:rsidR="008B2A27" w:rsidRDefault="00AD74A9">
            <w:pPr>
              <w:keepNext/>
              <w:jc w:val="center"/>
            </w:pPr>
            <w:r>
              <w:t>102</w:t>
            </w:r>
          </w:p>
        </w:tc>
        <w:tc>
          <w:tcPr>
            <w:tcW w:w="0" w:type="auto"/>
          </w:tcPr>
          <w:p w14:paraId="71F20E9C" w14:textId="77777777" w:rsidR="008B2A27" w:rsidRDefault="00AD74A9">
            <w:pPr>
              <w:keepNext/>
              <w:jc w:val="center"/>
            </w:pPr>
            <w:r>
              <w:t>5</w:t>
            </w:r>
          </w:p>
        </w:tc>
      </w:tr>
    </w:tbl>
    <w:p w14:paraId="7BA09A30" w14:textId="77777777" w:rsidR="008B2A27" w:rsidRDefault="008B2A27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8B2A27" w14:paraId="08F65BE5" w14:textId="77777777" w:rsidTr="008B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5B482F07" w14:textId="77777777" w:rsidR="008B2A27" w:rsidRDefault="00AD74A9">
            <w:r>
              <w:t>Nosilec predmeta/Lecturer:</w:t>
            </w:r>
          </w:p>
        </w:tc>
        <w:tc>
          <w:tcPr>
            <w:tcW w:w="3400" w:type="pct"/>
          </w:tcPr>
          <w:p w14:paraId="7B4108AA" w14:textId="77777777" w:rsidR="008B2A27" w:rsidRDefault="00AD7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Igor Kaučič                </w:t>
            </w:r>
          </w:p>
        </w:tc>
      </w:tr>
    </w:tbl>
    <w:p w14:paraId="6E3016A9" w14:textId="77777777" w:rsidR="008B2A27" w:rsidRDefault="008B2A27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3"/>
        <w:gridCol w:w="6550"/>
      </w:tblGrid>
      <w:tr w:rsidR="008B2A27" w14:paraId="4A5E7DCB" w14:textId="77777777" w:rsidTr="008B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45E2539F" w14:textId="77777777" w:rsidR="008B2A27" w:rsidRDefault="00AD74A9">
            <w:r>
              <w:t>Vrsta predmeta/Course type:</w:t>
            </w:r>
          </w:p>
        </w:tc>
        <w:tc>
          <w:tcPr>
            <w:tcW w:w="3400" w:type="pct"/>
          </w:tcPr>
          <w:p w14:paraId="16AEC8EA" w14:textId="77777777" w:rsidR="008B2A27" w:rsidRDefault="00AD7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izbirni/Optional subject</w:t>
            </w:r>
          </w:p>
        </w:tc>
      </w:tr>
    </w:tbl>
    <w:p w14:paraId="260CA4D9" w14:textId="77777777" w:rsidR="008B2A27" w:rsidRDefault="008B2A27"/>
    <w:tbl>
      <w:tblPr>
        <w:tblStyle w:val="VerticalTable"/>
        <w:tblW w:w="5000" w:type="pct"/>
        <w:tblLook w:val="04A0" w:firstRow="1" w:lastRow="0" w:firstColumn="1" w:lastColumn="0" w:noHBand="0" w:noVBand="1"/>
      </w:tblPr>
      <w:tblGrid>
        <w:gridCol w:w="3082"/>
        <w:gridCol w:w="3083"/>
        <w:gridCol w:w="3468"/>
      </w:tblGrid>
      <w:tr w:rsidR="008B2A27" w14:paraId="1AFFD331" w14:textId="77777777" w:rsidTr="008B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4E1CD2FA" w14:textId="77777777" w:rsidR="008B2A27" w:rsidRDefault="00AD74A9">
            <w:r>
              <w:t>Jeziki/Languages:</w:t>
            </w:r>
          </w:p>
        </w:tc>
        <w:tc>
          <w:tcPr>
            <w:tcW w:w="1600" w:type="pct"/>
          </w:tcPr>
          <w:p w14:paraId="42D698DC" w14:textId="77777777" w:rsidR="008B2A27" w:rsidRDefault="00AD7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Predavanja/Lectures:</w:t>
            </w:r>
          </w:p>
        </w:tc>
        <w:tc>
          <w:tcPr>
            <w:tcW w:w="1800" w:type="pct"/>
          </w:tcPr>
          <w:p w14:paraId="3DB31A2C" w14:textId="77777777" w:rsidR="008B2A27" w:rsidRDefault="00AD7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Slovenščina                    </w:t>
            </w:r>
          </w:p>
        </w:tc>
      </w:tr>
      <w:tr w:rsidR="008B2A27" w14:paraId="0C4C6F32" w14:textId="77777777" w:rsidTr="008B2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pct"/>
          </w:tcPr>
          <w:p w14:paraId="6355C408" w14:textId="77777777" w:rsidR="008B2A27" w:rsidRDefault="008B2A27"/>
        </w:tc>
        <w:tc>
          <w:tcPr>
            <w:tcW w:w="1600" w:type="pct"/>
          </w:tcPr>
          <w:p w14:paraId="6C4E60D0" w14:textId="77777777" w:rsidR="008B2A27" w:rsidRDefault="00AD7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Vaje/Tutorial:</w:t>
            </w:r>
          </w:p>
        </w:tc>
        <w:tc>
          <w:tcPr>
            <w:tcW w:w="1800" w:type="pct"/>
          </w:tcPr>
          <w:p w14:paraId="15E4F9B6" w14:textId="77777777" w:rsidR="008B2A27" w:rsidRDefault="008B2A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B528DDB" w14:textId="77777777" w:rsidR="008B2A27" w:rsidRDefault="008B2A2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8B2A27" w14:paraId="7F435B9C" w14:textId="77777777" w:rsidTr="008B2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5918E957" w14:textId="77777777" w:rsidR="008B2A27" w:rsidRDefault="00AD74A9">
            <w:r>
              <w:t>Pogoji za vključitev v delo oz. za opravljanje študijskih obveznosti:</w:t>
            </w:r>
          </w:p>
        </w:tc>
        <w:tc>
          <w:tcPr>
            <w:tcW w:w="2500" w:type="pct"/>
          </w:tcPr>
          <w:p w14:paraId="2BBCA644" w14:textId="77777777" w:rsidR="008B2A27" w:rsidRDefault="00AD74A9">
            <w:r>
              <w:t>Prerequisites:</w:t>
            </w:r>
          </w:p>
        </w:tc>
      </w:tr>
      <w:tr w:rsidR="008B2A27" w14:paraId="7577467F" w14:textId="77777777">
        <w:tc>
          <w:tcPr>
            <w:tcW w:w="0" w:type="auto"/>
          </w:tcPr>
          <w:p w14:paraId="561E78DD" w14:textId="77777777" w:rsidR="008B2A27" w:rsidRDefault="00AD74A9">
            <w:r>
              <w:t>Znanje ustavnega materialnega in procesnega prava na ravni univerzitetnega in magistrskega študija se predpostavlja.</w:t>
            </w:r>
          </w:p>
        </w:tc>
        <w:tc>
          <w:tcPr>
            <w:tcW w:w="0" w:type="auto"/>
          </w:tcPr>
          <w:p w14:paraId="6A0FA69A" w14:textId="77777777" w:rsidR="008B2A27" w:rsidRDefault="00AD74A9">
            <w:r>
              <w:t>Knowledge of material and procedural aspects of constitutional law on the level of university and master studies is required.</w:t>
            </w:r>
          </w:p>
        </w:tc>
      </w:tr>
    </w:tbl>
    <w:p w14:paraId="7BD86D32" w14:textId="77777777" w:rsidR="008B2A27" w:rsidRDefault="008B2A2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8B2A27" w14:paraId="577B9452" w14:textId="77777777" w:rsidTr="008B2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38E20921" w14:textId="77777777" w:rsidR="008B2A27" w:rsidRDefault="00AD74A9">
            <w:r>
              <w:t>Vsebina:</w:t>
            </w:r>
          </w:p>
        </w:tc>
        <w:tc>
          <w:tcPr>
            <w:tcW w:w="2500" w:type="pct"/>
          </w:tcPr>
          <w:p w14:paraId="52851B77" w14:textId="77777777" w:rsidR="008B2A27" w:rsidRDefault="00AD74A9">
            <w:r>
              <w:t>Content (Syllabus outline):</w:t>
            </w:r>
          </w:p>
        </w:tc>
      </w:tr>
      <w:tr w:rsidR="008B2A27" w14:paraId="421EF4C2" w14:textId="77777777">
        <w:tc>
          <w:tcPr>
            <w:tcW w:w="0" w:type="auto"/>
          </w:tcPr>
          <w:p w14:paraId="3AF603CD" w14:textId="77777777" w:rsidR="008B2A27" w:rsidRDefault="00AD74A9">
            <w:r>
              <w:t>1. Oblike in mehanizmi odgovornosti nosilcev javnih funkcij</w:t>
            </w:r>
          </w:p>
          <w:p w14:paraId="0AFCAC8A" w14:textId="77777777" w:rsidR="008B2A27" w:rsidRDefault="00AD74A9">
            <w:r>
              <w:t>2. Izključitev in omejitev odgovornosti</w:t>
            </w:r>
          </w:p>
          <w:p w14:paraId="1A73CE2D" w14:textId="77777777" w:rsidR="008B2A27" w:rsidRDefault="00AD74A9">
            <w:r>
              <w:t>3. Politična odgovornost nosilcev javnih funkcij</w:t>
            </w:r>
          </w:p>
          <w:p w14:paraId="67B955FC" w14:textId="77777777" w:rsidR="008B2A27" w:rsidRDefault="00AD74A9">
            <w:r>
              <w:t>4. Obtožba nosilcev javnih funkcij pred ustavnim sodiščem</w:t>
            </w:r>
          </w:p>
          <w:p w14:paraId="4C2482E2" w14:textId="77777777" w:rsidR="008B2A27" w:rsidRDefault="00AD74A9">
            <w:r>
              <w:t>5. Kazenska odgovornost nosilcev javnih funkcij</w:t>
            </w:r>
          </w:p>
          <w:p w14:paraId="2FBDE5E1" w14:textId="77777777" w:rsidR="008B2A27" w:rsidRDefault="00AD74A9">
            <w:r>
              <w:t>6. Materialna (odškodninska) in disciplinska odgovornost nosilcev javnih funkcij</w:t>
            </w:r>
          </w:p>
        </w:tc>
        <w:tc>
          <w:tcPr>
            <w:tcW w:w="0" w:type="auto"/>
          </w:tcPr>
          <w:p w14:paraId="2328B10C" w14:textId="77777777" w:rsidR="008B2A27" w:rsidRDefault="00AD74A9">
            <w:r>
              <w:t>1. Forms and mechanisms of responsibility of public officials</w:t>
            </w:r>
          </w:p>
          <w:p w14:paraId="6B1CD7B3" w14:textId="77777777" w:rsidR="008B2A27" w:rsidRDefault="00AD74A9">
            <w:r>
              <w:t>2. Elimindation and restriction of responsibility</w:t>
            </w:r>
          </w:p>
          <w:p w14:paraId="4C8BCCA9" w14:textId="77777777" w:rsidR="008B2A27" w:rsidRDefault="00AD74A9">
            <w:r>
              <w:t>3. Political responsibility of public officials</w:t>
            </w:r>
          </w:p>
          <w:p w14:paraId="2A37591F" w14:textId="77777777" w:rsidR="008B2A27" w:rsidRDefault="00AD74A9">
            <w:r>
              <w:t>4. Impeachment of public officials at the Constitutional Court</w:t>
            </w:r>
          </w:p>
          <w:p w14:paraId="2862B90E" w14:textId="77777777" w:rsidR="008B2A27" w:rsidRDefault="00AD74A9">
            <w:r>
              <w:t>5 Criminal responsibility of public officials.</w:t>
            </w:r>
          </w:p>
          <w:p w14:paraId="6E6209CD" w14:textId="77777777" w:rsidR="008B2A27" w:rsidRDefault="00AD74A9">
            <w:r>
              <w:t>6. Material (civil) and disciplinary responsibility of public officials</w:t>
            </w:r>
          </w:p>
        </w:tc>
      </w:tr>
    </w:tbl>
    <w:p w14:paraId="38A096E9" w14:textId="77777777" w:rsidR="008B2A27" w:rsidRDefault="008B2A2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8B2A27" w14:paraId="00150F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3CA39B9" w14:textId="77777777" w:rsidR="008B2A27" w:rsidRDefault="00AD74A9">
            <w:r>
              <w:t>Temeljna literatura in viri/Readings:</w:t>
            </w:r>
          </w:p>
        </w:tc>
      </w:tr>
      <w:tr w:rsidR="008B2A27" w14:paraId="6097BC62" w14:textId="77777777">
        <w:tc>
          <w:tcPr>
            <w:tcW w:w="0" w:type="auto"/>
          </w:tcPr>
          <w:p w14:paraId="430DE707" w14:textId="77777777" w:rsidR="008B2A27" w:rsidRDefault="00AD74A9">
            <w:r>
              <w:t>Odgovornost nosilcev javnih funkcij, zbornik referatov, V. dnevi javnega prava (ustavna sekcija), Portorož 1999, str. 297-383.</w:t>
            </w:r>
          </w:p>
          <w:p w14:paraId="0764C04E" w14:textId="77777777" w:rsidR="008B2A27" w:rsidRDefault="00AD74A9">
            <w:r>
              <w:t>Janez Pogorelec: Politična odgovornost, Ljubljana 2006.</w:t>
            </w:r>
          </w:p>
          <w:p w14:paraId="3F321966" w14:textId="77777777" w:rsidR="008B2A27" w:rsidRDefault="00AD74A9">
            <w:r>
              <w:lastRenderedPageBreak/>
              <w:t>Igor Kaučič: Spremembe ustavne ureditve poslanske imunitete, zbornik referatov, VIII. Dnevi javnega prava, Portorož 2002, str. 247-258.</w:t>
            </w:r>
          </w:p>
          <w:p w14:paraId="00052637" w14:textId="77777777" w:rsidR="008B2A27" w:rsidRDefault="00AD74A9">
            <w:r>
              <w:t>Odgovornost države, lokalnih skupnosti in drugih nosilcev javnih pooblastil za ravnanje svojih organov in uslužbencev (ur. M. Toš), Ljubljana 2005.</w:t>
            </w:r>
          </w:p>
        </w:tc>
      </w:tr>
    </w:tbl>
    <w:p w14:paraId="3822E27B" w14:textId="77777777" w:rsidR="008B2A27" w:rsidRDefault="008B2A2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8B2A27" w14:paraId="4C7FB7DC" w14:textId="77777777" w:rsidTr="008B2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2D575915" w14:textId="77777777" w:rsidR="008B2A27" w:rsidRDefault="00AD74A9">
            <w:r>
              <w:t>Cilji in kompetence:</w:t>
            </w:r>
          </w:p>
        </w:tc>
        <w:tc>
          <w:tcPr>
            <w:tcW w:w="2500" w:type="pct"/>
          </w:tcPr>
          <w:p w14:paraId="0B0150A6" w14:textId="77777777" w:rsidR="008B2A27" w:rsidRDefault="00AD74A9">
            <w:r>
              <w:t>Objectives and competences:</w:t>
            </w:r>
          </w:p>
        </w:tc>
      </w:tr>
      <w:tr w:rsidR="008B2A27" w14:paraId="5E5BA4D9" w14:textId="77777777">
        <w:tc>
          <w:tcPr>
            <w:tcW w:w="0" w:type="auto"/>
          </w:tcPr>
          <w:p w14:paraId="5ABD5EAB" w14:textId="77777777" w:rsidR="008B2A27" w:rsidRDefault="00AD74A9">
            <w:r>
              <w:t>Cilj predmeta je poglobljen študij oblik in mehanizmov pravne in nepravne politične odgovornosti ter kazenske, materialne in disciplinske odgovornosti nosilcev javnih funkcij.</w:t>
            </w:r>
          </w:p>
        </w:tc>
        <w:tc>
          <w:tcPr>
            <w:tcW w:w="0" w:type="auto"/>
          </w:tcPr>
          <w:p w14:paraId="2DE5A79B" w14:textId="77777777" w:rsidR="008B2A27" w:rsidRDefault="00AD74A9">
            <w:r>
              <w:t>The course aims at the in-depth study of forms and mechanisms of legal and extra-legal aspects of political responsibility, criminal, civil and disciplinary responsibility of public officials.</w:t>
            </w:r>
          </w:p>
        </w:tc>
      </w:tr>
    </w:tbl>
    <w:p w14:paraId="7CCFF3DE" w14:textId="77777777" w:rsidR="008B2A27" w:rsidRDefault="008B2A2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8B2A27" w14:paraId="04621BF3" w14:textId="77777777" w:rsidTr="008B2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50CB8016" w14:textId="77777777" w:rsidR="008B2A27" w:rsidRDefault="00AD74A9">
            <w:r>
              <w:t>Predvideni študijski rezultati:</w:t>
            </w:r>
          </w:p>
        </w:tc>
        <w:tc>
          <w:tcPr>
            <w:tcW w:w="2500" w:type="pct"/>
          </w:tcPr>
          <w:p w14:paraId="29FDB053" w14:textId="77777777" w:rsidR="008B2A27" w:rsidRDefault="00AD74A9">
            <w:r>
              <w:t>Intended learning outcomes:</w:t>
            </w:r>
          </w:p>
        </w:tc>
      </w:tr>
      <w:tr w:rsidR="008B2A27" w14:paraId="0F575FAC" w14:textId="77777777">
        <w:tc>
          <w:tcPr>
            <w:tcW w:w="0" w:type="auto"/>
          </w:tcPr>
          <w:p w14:paraId="42D6EACE" w14:textId="77777777" w:rsidR="008B2A27" w:rsidRDefault="00AD74A9">
            <w:r>
              <w:t>Znanje in razumevanje:</w:t>
            </w:r>
          </w:p>
          <w:p w14:paraId="49FABD26" w14:textId="77777777" w:rsidR="008B2A27" w:rsidRDefault="00AD74A9">
            <w:r>
              <w:t>Študent pridobi sposobnost znanstvene analize teh institutov, vrednotenja različnih teoretičnih stališč, uporabo primerjalno pravne metode, kritične analize sodne prakse in pisnega oblikovanja zahtevnejše argumentacije.</w:t>
            </w:r>
          </w:p>
        </w:tc>
        <w:tc>
          <w:tcPr>
            <w:tcW w:w="0" w:type="auto"/>
          </w:tcPr>
          <w:p w14:paraId="33372C41" w14:textId="77777777" w:rsidR="008B2A27" w:rsidRDefault="00AD74A9">
            <w:r>
              <w:t>Knowledge and understanding:</w:t>
            </w:r>
          </w:p>
          <w:p w14:paraId="66A97E19" w14:textId="77777777" w:rsidR="008B2A27" w:rsidRDefault="00AD74A9">
            <w:r>
              <w:t>Student acquires an ability of: a scientific analysis of selected institutions and topics of constitutional law, assessment of different theoretical positions, application of comparative legal method, critical analysis of court case-law and written formulation of exacting legal argumentation.</w:t>
            </w:r>
          </w:p>
        </w:tc>
      </w:tr>
    </w:tbl>
    <w:p w14:paraId="25FE141D" w14:textId="77777777" w:rsidR="008B2A27" w:rsidRDefault="008B2A2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8B2A27" w14:paraId="03A22B10" w14:textId="77777777" w:rsidTr="008B2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1F567314" w14:textId="77777777" w:rsidR="008B2A27" w:rsidRDefault="00AD74A9">
            <w:r>
              <w:t>Metode poučevanja in učenja:</w:t>
            </w:r>
          </w:p>
        </w:tc>
        <w:tc>
          <w:tcPr>
            <w:tcW w:w="2500" w:type="pct"/>
          </w:tcPr>
          <w:p w14:paraId="5289983D" w14:textId="77777777" w:rsidR="008B2A27" w:rsidRDefault="00AD74A9">
            <w:r>
              <w:t>Learning and teaching methods:</w:t>
            </w:r>
          </w:p>
        </w:tc>
      </w:tr>
      <w:tr w:rsidR="008B2A27" w14:paraId="1E1CD593" w14:textId="77777777">
        <w:tc>
          <w:tcPr>
            <w:tcW w:w="0" w:type="auto"/>
          </w:tcPr>
          <w:p w14:paraId="7F5AC28D" w14:textId="77777777" w:rsidR="008B2A27" w:rsidRDefault="00AD74A9">
            <w:r>
              <w:t>Predavanja – predavajo se izbrane teme, ki se določijo posebej glede na razvoj teorije, zakonodaje in sodne prakse.</w:t>
            </w:r>
          </w:p>
          <w:p w14:paraId="57E68ED6" w14:textId="77777777" w:rsidR="008B2A27" w:rsidRDefault="00AD74A9">
            <w:r>
              <w:t>Seminarske vaje – na seminarskih vajah študentje predstavijo vsebino seminarske naloge.</w:t>
            </w:r>
          </w:p>
          <w:p w14:paraId="43028C12" w14:textId="77777777" w:rsidR="008B2A27" w:rsidRDefault="00AD74A9">
            <w:r>
              <w:t>Drugo – izdelava seminarske naloge, ki obravnava zahtevnejši ustavnopravni problem.</w:t>
            </w:r>
          </w:p>
          <w:p w14:paraId="53C470B2" w14:textId="77777777" w:rsidR="008B2A27" w:rsidRDefault="00AD74A9">
            <w:r>
              <w:t>Individualni študij za izpit.</w:t>
            </w:r>
          </w:p>
        </w:tc>
        <w:tc>
          <w:tcPr>
            <w:tcW w:w="0" w:type="auto"/>
          </w:tcPr>
          <w:p w14:paraId="3224348E" w14:textId="77777777" w:rsidR="008B2A27" w:rsidRDefault="00AD74A9">
            <w:r>
              <w:t>Lectures – selected themes, determined by taking into account theoretical and normative developments and evolution of case-law, are discussed.</w:t>
            </w:r>
          </w:p>
          <w:p w14:paraId="320107E6" w14:textId="77777777" w:rsidR="008B2A27" w:rsidRDefault="00AD74A9">
            <w:r>
              <w:t>Seminars – students present a seminar paper.</w:t>
            </w:r>
          </w:p>
          <w:p w14:paraId="6C98D400" w14:textId="77777777" w:rsidR="008B2A27" w:rsidRDefault="00AD74A9">
            <w:r>
              <w:t>Other – preparation of an extensive seminar paper on an exacting issue in the field of constitutional law.</w:t>
            </w:r>
          </w:p>
          <w:p w14:paraId="3E09EED9" w14:textId="77777777" w:rsidR="008B2A27" w:rsidRDefault="00AD74A9">
            <w:r>
              <w:t>Individual studying and preparation for the exam.</w:t>
            </w:r>
          </w:p>
        </w:tc>
      </w:tr>
    </w:tbl>
    <w:p w14:paraId="533A1A9A" w14:textId="77777777" w:rsidR="008B2A27" w:rsidRDefault="008B2A2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045"/>
        <w:gridCol w:w="1548"/>
        <w:gridCol w:w="4045"/>
      </w:tblGrid>
      <w:tr w:rsidR="008B2A27" w14:paraId="07EE4B32" w14:textId="77777777" w:rsidTr="008B2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00" w:type="pct"/>
          </w:tcPr>
          <w:p w14:paraId="771B7A9B" w14:textId="77777777" w:rsidR="008B2A27" w:rsidRDefault="00AD74A9">
            <w:r>
              <w:t>Načini ocenjevanja:</w:t>
            </w:r>
          </w:p>
        </w:tc>
        <w:tc>
          <w:tcPr>
            <w:tcW w:w="600" w:type="pct"/>
          </w:tcPr>
          <w:p w14:paraId="743B8564" w14:textId="77777777" w:rsidR="008B2A27" w:rsidRDefault="00AD74A9">
            <w:pPr>
              <w:keepNext/>
              <w:jc w:val="center"/>
            </w:pPr>
            <w:r>
              <w:t>Delež/Weight</w:t>
            </w:r>
          </w:p>
        </w:tc>
        <w:tc>
          <w:tcPr>
            <w:tcW w:w="2200" w:type="pct"/>
          </w:tcPr>
          <w:p w14:paraId="2A793B8D" w14:textId="77777777" w:rsidR="008B2A27" w:rsidRDefault="00AD74A9">
            <w:r>
              <w:t>Assessment:</w:t>
            </w:r>
          </w:p>
        </w:tc>
      </w:tr>
      <w:tr w:rsidR="008B2A27" w14:paraId="25CAB9BC" w14:textId="77777777">
        <w:tc>
          <w:tcPr>
            <w:tcW w:w="0" w:type="auto"/>
          </w:tcPr>
          <w:p w14:paraId="5BC76EC4" w14:textId="77777777" w:rsidR="008B2A27" w:rsidRDefault="00AD74A9">
            <w:r>
              <w:t>Način (pisni izpit, ustno izpraševanje, naloge, projekt) Pisni ali ustni izpit. Za pristop k izpitu se zahteva uspešno izdelana in predstavljena seminarska naloga. Predstavitev se lahko opravi na seminarskih vajah ali pred učiteljem ocenjevalcem.</w:t>
            </w:r>
          </w:p>
        </w:tc>
        <w:tc>
          <w:tcPr>
            <w:tcW w:w="0" w:type="auto"/>
          </w:tcPr>
          <w:p w14:paraId="0CF1387D" w14:textId="77777777" w:rsidR="008B2A27" w:rsidRDefault="00AD74A9">
            <w:pPr>
              <w:keepNext/>
              <w:jc w:val="center"/>
            </w:pPr>
            <w:r>
              <w:t>100,00 %</w:t>
            </w:r>
          </w:p>
        </w:tc>
        <w:tc>
          <w:tcPr>
            <w:tcW w:w="0" w:type="auto"/>
          </w:tcPr>
          <w:p w14:paraId="1D10BA60" w14:textId="77777777" w:rsidR="008B2A27" w:rsidRDefault="00AD74A9">
            <w:r>
              <w:t>Type (examination, oral, coursework, project): Type (examination, oral, coursework, project): Written or oral exam. To access the exam, a successfully prepared and presented seminar paper is required. Student may present it at the seminars or before the assessing professor.</w:t>
            </w:r>
          </w:p>
        </w:tc>
      </w:tr>
    </w:tbl>
    <w:p w14:paraId="6D44385C" w14:textId="77777777" w:rsidR="008B2A27" w:rsidRDefault="008B2A2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8B2A27" w14:paraId="2E8A03BA" w14:textId="77777777" w:rsidTr="008B2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0" w:type="pct"/>
          </w:tcPr>
          <w:p w14:paraId="6D33242B" w14:textId="77777777" w:rsidR="008B2A27" w:rsidRDefault="00AD74A9">
            <w:r>
              <w:t>Ocenjevalna lestvica:</w:t>
            </w:r>
          </w:p>
        </w:tc>
        <w:tc>
          <w:tcPr>
            <w:tcW w:w="2500" w:type="pct"/>
          </w:tcPr>
          <w:p w14:paraId="5DFF8479" w14:textId="77777777" w:rsidR="008B2A27" w:rsidRDefault="00AD74A9">
            <w:r>
              <w:t>Grading system:</w:t>
            </w:r>
          </w:p>
        </w:tc>
      </w:tr>
      <w:tr w:rsidR="008B2A27" w14:paraId="24A5A099" w14:textId="77777777">
        <w:tc>
          <w:tcPr>
            <w:tcW w:w="0" w:type="auto"/>
          </w:tcPr>
          <w:p w14:paraId="7FBDD461" w14:textId="77777777" w:rsidR="008B2A27" w:rsidRDefault="008B2A27"/>
        </w:tc>
        <w:tc>
          <w:tcPr>
            <w:tcW w:w="0" w:type="auto"/>
          </w:tcPr>
          <w:p w14:paraId="308976F7" w14:textId="77777777" w:rsidR="008B2A27" w:rsidRDefault="008B2A27"/>
        </w:tc>
      </w:tr>
    </w:tbl>
    <w:p w14:paraId="010ED046" w14:textId="77777777" w:rsidR="008B2A27" w:rsidRDefault="008B2A27"/>
    <w:tbl>
      <w:tblPr>
        <w:tblStyle w:val="DefaultTable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8B2A27" w14:paraId="55F92C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058B3DF" w14:textId="77777777" w:rsidR="008B2A27" w:rsidRDefault="00AD74A9">
            <w:r>
              <w:t>Reference nosilca/Lecturer's references:</w:t>
            </w:r>
          </w:p>
        </w:tc>
      </w:tr>
      <w:tr w:rsidR="008B2A27" w14:paraId="38B999A4" w14:textId="77777777">
        <w:tc>
          <w:tcPr>
            <w:tcW w:w="0" w:type="auto"/>
          </w:tcPr>
          <w:p w14:paraId="532B5D8E" w14:textId="77777777" w:rsidR="008B2A27" w:rsidRDefault="00AD74A9">
            <w:r>
              <w:t>1. KAUČIČ, Igor: Obtožba predsednika republike zaradi kršitve ustave ali hujše kršitve zakona, Zbornik strokovno znanstvenih razprav VŠNZ, št. 4/1992, str. 164-155.</w:t>
            </w:r>
          </w:p>
          <w:p w14:paraId="41B0F909" w14:textId="77777777" w:rsidR="008B2A27" w:rsidRDefault="00AD74A9">
            <w:r>
              <w:t>2. KAUČIČ, Igor: Postopek parlamentarne preiskave, Zbornik strokovno znanstvenih razprav VŠNZ, št. 8/1995, str. 29-44.</w:t>
            </w:r>
          </w:p>
          <w:p w14:paraId="3D4EB00D" w14:textId="77777777" w:rsidR="008B2A27" w:rsidRDefault="00AD74A9">
            <w:r>
              <w:t>3. KAUČIČ, Igor: Nezdružljivost funkcije predsednika republike, v: Nezdružljivost opravljanja javne funkcije s pridobitno dejavnostjo ter etika izpostavljenih poklicev in funkcij, zbornik referatov, Otočec 2002.</w:t>
            </w:r>
          </w:p>
          <w:p w14:paraId="0EC4BE23" w14:textId="77777777" w:rsidR="008B2A27" w:rsidRDefault="00AD74A9">
            <w:r>
              <w:t>4. KAUČIČ, Igor: Omejitev ali odprava poslanske imunitete, Javna uprava, št. 2-3/2005, str. 435-451.</w:t>
            </w:r>
          </w:p>
          <w:p w14:paraId="2CBF0F45" w14:textId="77777777" w:rsidR="008B2A27" w:rsidRDefault="00AD74A9">
            <w:r>
              <w:t>5. KAUČIČ, Igor: Spremembe ustavne ureditve poslanske imunitete, zbornik referatov, VIII. Dnevi javnega prava, Portorož 2002, str. 247-258.</w:t>
            </w:r>
          </w:p>
        </w:tc>
      </w:tr>
    </w:tbl>
    <w:p w14:paraId="4347FEAC" w14:textId="77777777" w:rsidR="00AD74A9" w:rsidRDefault="00AD74A9"/>
    <w:sectPr w:rsidR="00000000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90302"/>
    <w:rsid w:val="000D7E81"/>
    <w:rsid w:val="001402F8"/>
    <w:rsid w:val="00161343"/>
    <w:rsid w:val="002116B5"/>
    <w:rsid w:val="00241413"/>
    <w:rsid w:val="002B7CE7"/>
    <w:rsid w:val="002E15C9"/>
    <w:rsid w:val="00336864"/>
    <w:rsid w:val="003B6369"/>
    <w:rsid w:val="00434998"/>
    <w:rsid w:val="004350FB"/>
    <w:rsid w:val="004447FF"/>
    <w:rsid w:val="0049772F"/>
    <w:rsid w:val="004E3BCD"/>
    <w:rsid w:val="00553CDF"/>
    <w:rsid w:val="005C2560"/>
    <w:rsid w:val="005D1C50"/>
    <w:rsid w:val="00601559"/>
    <w:rsid w:val="00615EA0"/>
    <w:rsid w:val="006345EB"/>
    <w:rsid w:val="0066264A"/>
    <w:rsid w:val="0069778E"/>
    <w:rsid w:val="00752599"/>
    <w:rsid w:val="00762C94"/>
    <w:rsid w:val="007720CE"/>
    <w:rsid w:val="007E45C0"/>
    <w:rsid w:val="00815C9A"/>
    <w:rsid w:val="00832376"/>
    <w:rsid w:val="0085648F"/>
    <w:rsid w:val="00895D99"/>
    <w:rsid w:val="008B2A27"/>
    <w:rsid w:val="008B7D52"/>
    <w:rsid w:val="008C5984"/>
    <w:rsid w:val="008D2254"/>
    <w:rsid w:val="008D55C1"/>
    <w:rsid w:val="008F361E"/>
    <w:rsid w:val="00901C23"/>
    <w:rsid w:val="00912701"/>
    <w:rsid w:val="009834EA"/>
    <w:rsid w:val="00993DFA"/>
    <w:rsid w:val="009B765E"/>
    <w:rsid w:val="00A04B24"/>
    <w:rsid w:val="00A42E40"/>
    <w:rsid w:val="00A458AB"/>
    <w:rsid w:val="00AA0A0F"/>
    <w:rsid w:val="00AD6198"/>
    <w:rsid w:val="00AD74A9"/>
    <w:rsid w:val="00B13427"/>
    <w:rsid w:val="00B41EA5"/>
    <w:rsid w:val="00B959B9"/>
    <w:rsid w:val="00BA4AE7"/>
    <w:rsid w:val="00BD197C"/>
    <w:rsid w:val="00BD2556"/>
    <w:rsid w:val="00BD7F5C"/>
    <w:rsid w:val="00BF33AC"/>
    <w:rsid w:val="00C407B2"/>
    <w:rsid w:val="00C716FC"/>
    <w:rsid w:val="00CE5856"/>
    <w:rsid w:val="00D25C88"/>
    <w:rsid w:val="00DC7D1B"/>
    <w:rsid w:val="00DD5004"/>
    <w:rsid w:val="00E32890"/>
    <w:rsid w:val="00EF57B9"/>
    <w:rsid w:val="00F1347F"/>
    <w:rsid w:val="00F71EF5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449A"/>
  <w15:chartTrackingRefBased/>
  <w15:docId w15:val="{4F29B1B1-5D00-411F-BA08-314E3052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normal"/>
    <w:qFormat/>
    <w:rsid w:val="002E15C9"/>
    <w:rPr>
      <w:rFonts w:ascii="Garamond" w:hAnsi="Garamond"/>
      <w:sz w:val="22"/>
    </w:rPr>
  </w:style>
  <w:style w:type="paragraph" w:styleId="Naslov1">
    <w:name w:val="heading 1"/>
    <w:aliases w:val="heading 1"/>
    <w:basedOn w:val="Navaden"/>
    <w:next w:val="Navaden"/>
    <w:link w:val="Naslov1Znak"/>
    <w:uiPriority w:val="9"/>
    <w:qFormat/>
    <w:rsid w:val="00895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Naslov2">
    <w:name w:val="heading 2"/>
    <w:aliases w:val="heading 2"/>
    <w:basedOn w:val="Navaden"/>
    <w:next w:val="Navaden"/>
    <w:link w:val="Naslov2Znak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Naslov3">
    <w:name w:val="heading 3"/>
    <w:aliases w:val="heading 3"/>
    <w:basedOn w:val="Navaden"/>
    <w:next w:val="Navaden"/>
    <w:link w:val="Naslov3Znak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Naslov4">
    <w:name w:val="heading 4"/>
    <w:aliases w:val="heading 4"/>
    <w:basedOn w:val="Navaden"/>
    <w:next w:val="Navaden"/>
    <w:link w:val="Naslov4Znak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Naslov5">
    <w:name w:val="heading 5"/>
    <w:aliases w:val="heading 5"/>
    <w:basedOn w:val="Navaden"/>
    <w:next w:val="Navaden"/>
    <w:link w:val="Naslov5Znak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Naslov6">
    <w:name w:val="heading 6"/>
    <w:aliases w:val="heading 6"/>
    <w:basedOn w:val="Navaden"/>
    <w:next w:val="Navaden"/>
    <w:link w:val="Naslov6Znak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Znak"/>
    <w:basedOn w:val="Privzetapisavaodstavka"/>
    <w:link w:val="Naslov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customStyle="1" w:styleId="Naslov2Znak">
    <w:name w:val="Naslov 2 Znak"/>
    <w:aliases w:val="heading 2 Znak"/>
    <w:basedOn w:val="Privzetapisavaodstavka"/>
    <w:link w:val="Naslov2"/>
    <w:uiPriority w:val="9"/>
    <w:rsid w:val="00F1347F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Naslov3Znak">
    <w:name w:val="Naslov 3 Znak"/>
    <w:aliases w:val="heading 3 Znak"/>
    <w:basedOn w:val="Privzetapisavaodstavka"/>
    <w:link w:val="Naslov3"/>
    <w:uiPriority w:val="9"/>
    <w:rsid w:val="00F1347F"/>
    <w:rPr>
      <w:rFonts w:ascii="Arial" w:eastAsiaTheme="majorEastAsia" w:hAnsi="Arial" w:cstheme="majorBidi"/>
      <w:color w:val="323232" w:themeColor="text2"/>
      <w:sz w:val="24"/>
      <w:szCs w:val="24"/>
    </w:rPr>
  </w:style>
  <w:style w:type="character" w:customStyle="1" w:styleId="Naslov4Znak">
    <w:name w:val="Naslov 4 Znak"/>
    <w:aliases w:val="heading 4 Znak"/>
    <w:basedOn w:val="Privzetapisavaodstavka"/>
    <w:link w:val="Naslov4"/>
    <w:uiPriority w:val="9"/>
    <w:rsid w:val="00F1347F"/>
    <w:rPr>
      <w:rFonts w:ascii="Arial" w:eastAsiaTheme="majorEastAsia" w:hAnsi="Arial" w:cstheme="majorBidi"/>
      <w:sz w:val="22"/>
      <w:szCs w:val="22"/>
    </w:rPr>
  </w:style>
  <w:style w:type="character" w:customStyle="1" w:styleId="Naslov5Znak">
    <w:name w:val="Naslov 5 Znak"/>
    <w:aliases w:val="heading 5 Znak"/>
    <w:basedOn w:val="Privzetapisavaodstavka"/>
    <w:link w:val="Naslov5"/>
    <w:uiPriority w:val="9"/>
    <w:rsid w:val="00F1347F"/>
    <w:rPr>
      <w:rFonts w:ascii="Arial" w:eastAsiaTheme="majorEastAsia" w:hAnsi="Arial" w:cstheme="majorBidi"/>
      <w:color w:val="323232" w:themeColor="text2"/>
      <w:sz w:val="22"/>
      <w:szCs w:val="22"/>
    </w:rPr>
  </w:style>
  <w:style w:type="character" w:customStyle="1" w:styleId="Naslov6Znak">
    <w:name w:val="Naslov 6 Znak"/>
    <w:aliases w:val="heading 6 Znak"/>
    <w:basedOn w:val="Privzetapisavaodstavka"/>
    <w:link w:val="Naslov6"/>
    <w:uiPriority w:val="9"/>
    <w:rsid w:val="00F1347F"/>
    <w:rPr>
      <w:rFonts w:ascii="Arial" w:eastAsiaTheme="majorEastAsia" w:hAnsi="Arial" w:cstheme="majorBidi"/>
      <w:i/>
      <w:iCs/>
      <w:color w:val="323232" w:themeColor="text2"/>
      <w:sz w:val="21"/>
      <w:szCs w:val="2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116B5"/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116B5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116B5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avaden"/>
    <w:next w:val="Navaden"/>
    <w:link w:val="NaslovZnak"/>
    <w:uiPriority w:val="10"/>
    <w:qFormat/>
    <w:rsid w:val="00211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116B5"/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11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116B5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2116B5"/>
    <w:rPr>
      <w:b/>
      <w:bCs/>
    </w:rPr>
  </w:style>
  <w:style w:type="character" w:styleId="Poudarek">
    <w:name w:val="Emphasis"/>
    <w:basedOn w:val="Privzetapisavaodstavka"/>
    <w:uiPriority w:val="20"/>
    <w:qFormat/>
    <w:rsid w:val="002116B5"/>
    <w:rPr>
      <w:i/>
      <w:iCs/>
    </w:rPr>
  </w:style>
  <w:style w:type="paragraph" w:styleId="Brezrazmikov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116B5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116B5"/>
    <w:pPr>
      <w:pBdr>
        <w:left w:val="single" w:sz="18" w:space="12" w:color="A5300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116B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2116B5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2116B5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2116B5"/>
    <w:rPr>
      <w:b/>
      <w:bCs/>
      <w:smallCaps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2116B5"/>
    <w:rPr>
      <w:b/>
      <w:bCs/>
      <w:smallCaps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116B5"/>
    <w:pPr>
      <w:outlineLvl w:val="9"/>
    </w:pPr>
  </w:style>
  <w:style w:type="table" w:styleId="Tabelamrea">
    <w:name w:val="Table Grid"/>
    <w:basedOn w:val="Navadnatabela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1poudarek4">
    <w:name w:val="Grid Table 1 Light Accent 4"/>
    <w:basedOn w:val="Navadnatabela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">
    <w:name w:val="Grid Table Light"/>
    <w:basedOn w:val="Navadnatabela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vetlamrea1poudarek1">
    <w:name w:val="Grid Table 1 Light Accent 1"/>
    <w:basedOn w:val="Navadnatabela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elasvetlamrea"/>
    <w:uiPriority w:val="99"/>
    <w:rsid w:val="00B13427"/>
    <w:tblPr/>
  </w:style>
  <w:style w:type="paragraph" w:styleId="Odstavekseznama">
    <w:name w:val="List Paragraph"/>
    <w:aliases w:val="ListParagraph"/>
    <w:basedOn w:val="Navaden"/>
    <w:uiPriority w:val="34"/>
    <w:qFormat/>
    <w:rsid w:val="00C407B2"/>
    <w:pPr>
      <w:ind w:left="720"/>
      <w:contextualSpacing/>
    </w:pPr>
  </w:style>
  <w:style w:type="table" w:styleId="Tabelasvetlamrea1">
    <w:name w:val="Grid Table 1 Light"/>
    <w:basedOn w:val="Navadnatabela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elasvetlamrea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elasvetlamrea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elasvetlamrea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elamrea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Marentič, Maja</cp:lastModifiedBy>
  <cp:revision>2</cp:revision>
  <dcterms:created xsi:type="dcterms:W3CDTF">2025-05-09T08:08:00Z</dcterms:created>
  <dcterms:modified xsi:type="dcterms:W3CDTF">2025-05-09T08:08:00Z</dcterms:modified>
</cp:coreProperties>
</file>