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F318" w14:textId="77777777" w:rsidR="00622879" w:rsidRDefault="000F34D7">
      <w:pPr>
        <w:pStyle w:val="Naslov1"/>
      </w:pPr>
      <w:r>
        <w:t>Pravo reguliranih trgov</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622879" w14:paraId="73773412" w14:textId="77777777" w:rsidTr="00622879">
        <w:tc>
          <w:tcPr>
            <w:cnfStyle w:val="001000000000" w:firstRow="0" w:lastRow="0" w:firstColumn="1" w:lastColumn="0" w:oddVBand="0" w:evenVBand="0" w:oddHBand="0" w:evenHBand="0" w:firstRowFirstColumn="0" w:firstRowLastColumn="0" w:lastRowFirstColumn="0" w:lastRowLastColumn="0"/>
            <w:tcW w:w="1500" w:type="pct"/>
          </w:tcPr>
          <w:p w14:paraId="24B2B630" w14:textId="77777777" w:rsidR="00622879" w:rsidRDefault="000F34D7">
            <w:r>
              <w:t>Predmet:</w:t>
            </w:r>
          </w:p>
        </w:tc>
        <w:tc>
          <w:tcPr>
            <w:tcW w:w="3500" w:type="pct"/>
          </w:tcPr>
          <w:p w14:paraId="77041A70" w14:textId="77777777" w:rsidR="00622879" w:rsidRDefault="000F34D7">
            <w:pPr>
              <w:cnfStyle w:val="000000000000" w:firstRow="0" w:lastRow="0" w:firstColumn="0" w:lastColumn="0" w:oddVBand="0" w:evenVBand="0" w:oddHBand="0" w:evenHBand="0" w:firstRowFirstColumn="0" w:firstRowLastColumn="0" w:lastRowFirstColumn="0" w:lastRowLastColumn="0"/>
            </w:pPr>
            <w:r>
              <w:t>Pravo reguliranih trgov</w:t>
            </w:r>
          </w:p>
        </w:tc>
      </w:tr>
      <w:tr w:rsidR="00622879" w14:paraId="4B51DF79" w14:textId="77777777" w:rsidTr="00622879">
        <w:tc>
          <w:tcPr>
            <w:cnfStyle w:val="001000000000" w:firstRow="0" w:lastRow="0" w:firstColumn="1" w:lastColumn="0" w:oddVBand="0" w:evenVBand="0" w:oddHBand="0" w:evenHBand="0" w:firstRowFirstColumn="0" w:firstRowLastColumn="0" w:lastRowFirstColumn="0" w:lastRowLastColumn="0"/>
            <w:tcW w:w="1500" w:type="pct"/>
          </w:tcPr>
          <w:p w14:paraId="3F157A45" w14:textId="77777777" w:rsidR="00622879" w:rsidRDefault="000F34D7">
            <w:r>
              <w:t>Course title:</w:t>
            </w:r>
          </w:p>
        </w:tc>
        <w:tc>
          <w:tcPr>
            <w:tcW w:w="3500" w:type="pct"/>
          </w:tcPr>
          <w:p w14:paraId="360079EA" w14:textId="77777777" w:rsidR="00622879" w:rsidRDefault="000F34D7">
            <w:pPr>
              <w:cnfStyle w:val="000000000000" w:firstRow="0" w:lastRow="0" w:firstColumn="0" w:lastColumn="0" w:oddVBand="0" w:evenVBand="0" w:oddHBand="0" w:evenHBand="0" w:firstRowFirstColumn="0" w:firstRowLastColumn="0" w:lastRowFirstColumn="0" w:lastRowLastColumn="0"/>
            </w:pPr>
            <w:r>
              <w:t>Law of regulated markets</w:t>
            </w:r>
          </w:p>
        </w:tc>
      </w:tr>
      <w:tr w:rsidR="00622879" w14:paraId="610591D3" w14:textId="77777777" w:rsidTr="00622879">
        <w:tc>
          <w:tcPr>
            <w:cnfStyle w:val="001000000000" w:firstRow="0" w:lastRow="0" w:firstColumn="1" w:lastColumn="0" w:oddVBand="0" w:evenVBand="0" w:oddHBand="0" w:evenHBand="0" w:firstRowFirstColumn="0" w:firstRowLastColumn="0" w:lastRowFirstColumn="0" w:lastRowLastColumn="0"/>
            <w:tcW w:w="1500" w:type="pct"/>
          </w:tcPr>
          <w:p w14:paraId="1EF6FA27" w14:textId="77777777" w:rsidR="00622879" w:rsidRDefault="000F34D7">
            <w:r>
              <w:t>Članica nosilka/UL Member:</w:t>
            </w:r>
          </w:p>
        </w:tc>
        <w:tc>
          <w:tcPr>
            <w:tcW w:w="3500" w:type="pct"/>
          </w:tcPr>
          <w:p w14:paraId="03E771CE" w14:textId="77777777" w:rsidR="00622879" w:rsidRDefault="000F34D7">
            <w:pPr>
              <w:cnfStyle w:val="000000000000" w:firstRow="0" w:lastRow="0" w:firstColumn="0" w:lastColumn="0" w:oddVBand="0" w:evenVBand="0" w:oddHBand="0" w:evenHBand="0" w:firstRowFirstColumn="0" w:firstRowLastColumn="0" w:lastRowFirstColumn="0" w:lastRowLastColumn="0"/>
            </w:pPr>
            <w:r>
              <w:t>UL PF</w:t>
            </w:r>
          </w:p>
        </w:tc>
      </w:tr>
    </w:tbl>
    <w:p w14:paraId="2DB82904" w14:textId="77777777" w:rsidR="00622879" w:rsidRDefault="00622879"/>
    <w:tbl>
      <w:tblPr>
        <w:tblStyle w:val="DefaultTable"/>
        <w:tblW w:w="5000" w:type="pct"/>
        <w:tblLook w:val="04A0" w:firstRow="1" w:lastRow="0" w:firstColumn="1" w:lastColumn="0" w:noHBand="0" w:noVBand="1"/>
      </w:tblPr>
      <w:tblGrid>
        <w:gridCol w:w="3589"/>
        <w:gridCol w:w="2625"/>
        <w:gridCol w:w="1181"/>
        <w:gridCol w:w="1181"/>
        <w:gridCol w:w="1062"/>
      </w:tblGrid>
      <w:tr w:rsidR="00622879" w14:paraId="3C8A6FCF" w14:textId="77777777" w:rsidTr="00622879">
        <w:trPr>
          <w:cnfStyle w:val="100000000000" w:firstRow="1" w:lastRow="0" w:firstColumn="0" w:lastColumn="0" w:oddVBand="0" w:evenVBand="0" w:oddHBand="0" w:evenHBand="0" w:firstRowFirstColumn="0" w:firstRowLastColumn="0" w:lastRowFirstColumn="0" w:lastRowLastColumn="0"/>
        </w:trPr>
        <w:tc>
          <w:tcPr>
            <w:tcW w:w="2000" w:type="pct"/>
          </w:tcPr>
          <w:p w14:paraId="0D0A3E5F" w14:textId="77777777" w:rsidR="00622879" w:rsidRDefault="000F34D7">
            <w:r>
              <w:t>Študijski programi in stopnja</w:t>
            </w:r>
          </w:p>
        </w:tc>
        <w:tc>
          <w:tcPr>
            <w:tcW w:w="1500" w:type="pct"/>
          </w:tcPr>
          <w:p w14:paraId="5D0773AA" w14:textId="77777777" w:rsidR="00622879" w:rsidRDefault="000F34D7">
            <w:r>
              <w:t>Študijska smer</w:t>
            </w:r>
          </w:p>
        </w:tc>
        <w:tc>
          <w:tcPr>
            <w:tcW w:w="500" w:type="pct"/>
          </w:tcPr>
          <w:p w14:paraId="01ED2098" w14:textId="77777777" w:rsidR="00622879" w:rsidRDefault="000F34D7">
            <w:r>
              <w:t>Letnik</w:t>
            </w:r>
          </w:p>
        </w:tc>
        <w:tc>
          <w:tcPr>
            <w:tcW w:w="500" w:type="pct"/>
          </w:tcPr>
          <w:p w14:paraId="010826E9" w14:textId="77777777" w:rsidR="00622879" w:rsidRDefault="000F34D7">
            <w:r>
              <w:t>Semestri</w:t>
            </w:r>
          </w:p>
        </w:tc>
        <w:tc>
          <w:tcPr>
            <w:tcW w:w="500" w:type="pct"/>
          </w:tcPr>
          <w:p w14:paraId="30C97B42" w14:textId="77777777" w:rsidR="00622879" w:rsidRDefault="000F34D7">
            <w:r>
              <w:t>Izbirnost</w:t>
            </w:r>
          </w:p>
        </w:tc>
      </w:tr>
      <w:tr w:rsidR="00622879" w14:paraId="524F53E6" w14:textId="77777777" w:rsidTr="00622879">
        <w:tc>
          <w:tcPr>
            <w:tcW w:w="2000" w:type="pct"/>
          </w:tcPr>
          <w:p w14:paraId="25F020EB" w14:textId="77777777" w:rsidR="00622879" w:rsidRDefault="000F34D7">
            <w:r>
              <w:t>Pravo, tretja stopnja, doktorski</w:t>
            </w:r>
          </w:p>
        </w:tc>
        <w:tc>
          <w:tcPr>
            <w:tcW w:w="1500" w:type="pct"/>
          </w:tcPr>
          <w:p w14:paraId="082BA8E6" w14:textId="77777777" w:rsidR="00622879" w:rsidRDefault="000F34D7">
            <w:r>
              <w:t xml:space="preserve">Ni členitve (študijski program)                </w:t>
            </w:r>
          </w:p>
        </w:tc>
        <w:tc>
          <w:tcPr>
            <w:tcW w:w="750" w:type="pct"/>
          </w:tcPr>
          <w:p w14:paraId="0DFB24A6" w14:textId="77777777" w:rsidR="00622879" w:rsidRDefault="000F34D7">
            <w:r>
              <w:t>1. letnik</w:t>
            </w:r>
          </w:p>
        </w:tc>
        <w:tc>
          <w:tcPr>
            <w:tcW w:w="750" w:type="pct"/>
          </w:tcPr>
          <w:p w14:paraId="76B9A468" w14:textId="77777777" w:rsidR="00622879" w:rsidRDefault="000F34D7">
            <w:r>
              <w:t>2. semester</w:t>
            </w:r>
          </w:p>
        </w:tc>
        <w:tc>
          <w:tcPr>
            <w:tcW w:w="750" w:type="pct"/>
          </w:tcPr>
          <w:p w14:paraId="4AE51B26" w14:textId="77777777" w:rsidR="00622879" w:rsidRDefault="000F34D7">
            <w:r>
              <w:t>izbirni</w:t>
            </w:r>
          </w:p>
        </w:tc>
      </w:tr>
    </w:tbl>
    <w:p w14:paraId="48528941" w14:textId="77777777" w:rsidR="00622879" w:rsidRDefault="00622879"/>
    <w:tbl>
      <w:tblPr>
        <w:tblStyle w:val="VerticalTable"/>
        <w:tblW w:w="5000" w:type="pct"/>
        <w:tblLook w:val="04A0" w:firstRow="1" w:lastRow="0" w:firstColumn="1" w:lastColumn="0" w:noHBand="0" w:noVBand="1"/>
      </w:tblPr>
      <w:tblGrid>
        <w:gridCol w:w="5298"/>
        <w:gridCol w:w="4335"/>
      </w:tblGrid>
      <w:tr w:rsidR="00622879" w14:paraId="0B29FB33" w14:textId="77777777" w:rsidTr="00622879">
        <w:tc>
          <w:tcPr>
            <w:cnfStyle w:val="001000000000" w:firstRow="0" w:lastRow="0" w:firstColumn="1" w:lastColumn="0" w:oddVBand="0" w:evenVBand="0" w:oddHBand="0" w:evenHBand="0" w:firstRowFirstColumn="0" w:firstRowLastColumn="0" w:lastRowFirstColumn="0" w:lastRowLastColumn="0"/>
            <w:tcW w:w="2750" w:type="pct"/>
          </w:tcPr>
          <w:p w14:paraId="21684F44" w14:textId="77777777" w:rsidR="00622879" w:rsidRDefault="000F34D7">
            <w:r>
              <w:t>Univerzitetna koda predmeta/University course code:</w:t>
            </w:r>
          </w:p>
        </w:tc>
        <w:tc>
          <w:tcPr>
            <w:tcW w:w="2250" w:type="pct"/>
          </w:tcPr>
          <w:p w14:paraId="39B5B693" w14:textId="77777777" w:rsidR="00622879" w:rsidRDefault="000F34D7">
            <w:pPr>
              <w:cnfStyle w:val="000000000000" w:firstRow="0" w:lastRow="0" w:firstColumn="0" w:lastColumn="0" w:oddVBand="0" w:evenVBand="0" w:oddHBand="0" w:evenHBand="0" w:firstRowFirstColumn="0" w:firstRowLastColumn="0" w:lastRowFirstColumn="0" w:lastRowLastColumn="0"/>
            </w:pPr>
            <w:r>
              <w:t>0043655</w:t>
            </w:r>
          </w:p>
        </w:tc>
      </w:tr>
      <w:tr w:rsidR="00622879" w14:paraId="7368BCDC" w14:textId="77777777" w:rsidTr="00622879">
        <w:tc>
          <w:tcPr>
            <w:cnfStyle w:val="001000000000" w:firstRow="0" w:lastRow="0" w:firstColumn="1" w:lastColumn="0" w:oddVBand="0" w:evenVBand="0" w:oddHBand="0" w:evenHBand="0" w:firstRowFirstColumn="0" w:firstRowLastColumn="0" w:lastRowFirstColumn="0" w:lastRowLastColumn="0"/>
            <w:tcW w:w="2750" w:type="pct"/>
          </w:tcPr>
          <w:p w14:paraId="6496862D" w14:textId="77777777" w:rsidR="00622879" w:rsidRDefault="000F34D7">
            <w:r>
              <w:t>Koda učne enote na članici/UL Member course code:</w:t>
            </w:r>
          </w:p>
        </w:tc>
        <w:tc>
          <w:tcPr>
            <w:tcW w:w="2250" w:type="pct"/>
          </w:tcPr>
          <w:p w14:paraId="7DA66474" w14:textId="77777777" w:rsidR="00622879" w:rsidRDefault="000F34D7">
            <w:pPr>
              <w:cnfStyle w:val="000000000000" w:firstRow="0" w:lastRow="0" w:firstColumn="0" w:lastColumn="0" w:oddVBand="0" w:evenVBand="0" w:oddHBand="0" w:evenHBand="0" w:firstRowFirstColumn="0" w:firstRowLastColumn="0" w:lastRowFirstColumn="0" w:lastRowLastColumn="0"/>
            </w:pPr>
            <w:r>
              <w:t>573</w:t>
            </w:r>
          </w:p>
        </w:tc>
      </w:tr>
    </w:tbl>
    <w:p w14:paraId="1422348B" w14:textId="77777777" w:rsidR="00622879" w:rsidRDefault="0062287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622879" w14:paraId="20941957" w14:textId="77777777" w:rsidTr="00622879">
        <w:trPr>
          <w:cnfStyle w:val="100000000000" w:firstRow="1" w:lastRow="0" w:firstColumn="0" w:lastColumn="0" w:oddVBand="0" w:evenVBand="0" w:oddHBand="0" w:evenHBand="0" w:firstRowFirstColumn="0" w:firstRowLastColumn="0" w:lastRowFirstColumn="0" w:lastRowLastColumn="0"/>
        </w:trPr>
        <w:tc>
          <w:tcPr>
            <w:tcW w:w="800" w:type="pct"/>
          </w:tcPr>
          <w:p w14:paraId="7F466C45" w14:textId="77777777" w:rsidR="00622879" w:rsidRDefault="000F34D7">
            <w:pPr>
              <w:keepNext/>
              <w:jc w:val="center"/>
            </w:pPr>
            <w:r>
              <w:t>Predavanja</w:t>
            </w:r>
            <w:r>
              <w:br/>
              <w:t>/Lectures</w:t>
            </w:r>
          </w:p>
        </w:tc>
        <w:tc>
          <w:tcPr>
            <w:tcW w:w="800" w:type="pct"/>
          </w:tcPr>
          <w:p w14:paraId="4BB4809C" w14:textId="77777777" w:rsidR="00622879" w:rsidRDefault="000F34D7">
            <w:pPr>
              <w:keepNext/>
              <w:jc w:val="center"/>
            </w:pPr>
            <w:r>
              <w:t>Seminar</w:t>
            </w:r>
            <w:r>
              <w:br/>
              <w:t>/Seminar</w:t>
            </w:r>
          </w:p>
        </w:tc>
        <w:tc>
          <w:tcPr>
            <w:tcW w:w="800" w:type="pct"/>
          </w:tcPr>
          <w:p w14:paraId="66B6D017" w14:textId="77777777" w:rsidR="00622879" w:rsidRDefault="000F34D7">
            <w:pPr>
              <w:keepNext/>
              <w:jc w:val="center"/>
            </w:pPr>
            <w:r>
              <w:t>Vaje</w:t>
            </w:r>
            <w:r>
              <w:br/>
              <w:t>/Tutorials</w:t>
            </w:r>
          </w:p>
        </w:tc>
        <w:tc>
          <w:tcPr>
            <w:tcW w:w="800" w:type="pct"/>
          </w:tcPr>
          <w:p w14:paraId="0E59E005" w14:textId="77777777" w:rsidR="00622879" w:rsidRDefault="000F34D7">
            <w:pPr>
              <w:keepNext/>
              <w:jc w:val="center"/>
            </w:pPr>
            <w:r>
              <w:t>Klinične vaje</w:t>
            </w:r>
            <w:r>
              <w:br/>
              <w:t>/Clinical tutorials</w:t>
            </w:r>
          </w:p>
        </w:tc>
        <w:tc>
          <w:tcPr>
            <w:tcW w:w="800" w:type="pct"/>
          </w:tcPr>
          <w:p w14:paraId="28F3D53E" w14:textId="77777777" w:rsidR="00622879" w:rsidRDefault="000F34D7">
            <w:pPr>
              <w:keepNext/>
              <w:jc w:val="center"/>
            </w:pPr>
            <w:r>
              <w:t>Druge oblike študija</w:t>
            </w:r>
            <w:r>
              <w:br/>
              <w:t>/Other forms of study</w:t>
            </w:r>
          </w:p>
        </w:tc>
        <w:tc>
          <w:tcPr>
            <w:tcW w:w="800" w:type="pct"/>
          </w:tcPr>
          <w:p w14:paraId="2D48728F" w14:textId="77777777" w:rsidR="00622879" w:rsidRDefault="000F34D7">
            <w:pPr>
              <w:keepNext/>
              <w:jc w:val="center"/>
            </w:pPr>
            <w:r>
              <w:t>Samostojno delo</w:t>
            </w:r>
            <w:r>
              <w:br/>
              <w:t>/Individual student work</w:t>
            </w:r>
          </w:p>
        </w:tc>
        <w:tc>
          <w:tcPr>
            <w:tcW w:w="200" w:type="pct"/>
          </w:tcPr>
          <w:p w14:paraId="4F5F92EB" w14:textId="77777777" w:rsidR="00622879" w:rsidRDefault="000F34D7">
            <w:pPr>
              <w:keepNext/>
              <w:jc w:val="center"/>
            </w:pPr>
            <w:r>
              <w:t>ECTS</w:t>
            </w:r>
          </w:p>
        </w:tc>
      </w:tr>
      <w:tr w:rsidR="00622879" w14:paraId="00D90072" w14:textId="77777777">
        <w:tc>
          <w:tcPr>
            <w:tcW w:w="0" w:type="auto"/>
          </w:tcPr>
          <w:p w14:paraId="6C9CDB85" w14:textId="77777777" w:rsidR="00622879" w:rsidRDefault="000F34D7">
            <w:pPr>
              <w:keepNext/>
              <w:jc w:val="center"/>
            </w:pPr>
            <w:r>
              <w:t>15</w:t>
            </w:r>
          </w:p>
        </w:tc>
        <w:tc>
          <w:tcPr>
            <w:tcW w:w="0" w:type="auto"/>
          </w:tcPr>
          <w:p w14:paraId="589E7101" w14:textId="77777777" w:rsidR="00622879" w:rsidRDefault="000F34D7">
            <w:pPr>
              <w:keepNext/>
              <w:jc w:val="center"/>
            </w:pPr>
            <w:r>
              <w:t>8</w:t>
            </w:r>
          </w:p>
        </w:tc>
        <w:tc>
          <w:tcPr>
            <w:tcW w:w="0" w:type="auto"/>
          </w:tcPr>
          <w:p w14:paraId="51621E96" w14:textId="77777777" w:rsidR="00622879" w:rsidRDefault="000F34D7">
            <w:pPr>
              <w:keepNext/>
              <w:jc w:val="center"/>
            </w:pPr>
            <w:r>
              <w:t>0</w:t>
            </w:r>
          </w:p>
        </w:tc>
        <w:tc>
          <w:tcPr>
            <w:tcW w:w="0" w:type="auto"/>
          </w:tcPr>
          <w:p w14:paraId="3C3C378F" w14:textId="77777777" w:rsidR="00622879" w:rsidRDefault="000F34D7">
            <w:pPr>
              <w:keepNext/>
              <w:jc w:val="center"/>
            </w:pPr>
            <w:r>
              <w:t>0</w:t>
            </w:r>
          </w:p>
        </w:tc>
        <w:tc>
          <w:tcPr>
            <w:tcW w:w="0" w:type="auto"/>
          </w:tcPr>
          <w:p w14:paraId="6D2C4555" w14:textId="77777777" w:rsidR="00622879" w:rsidRDefault="000F34D7">
            <w:pPr>
              <w:keepNext/>
              <w:jc w:val="center"/>
            </w:pPr>
            <w:r>
              <w:t>0</w:t>
            </w:r>
          </w:p>
        </w:tc>
        <w:tc>
          <w:tcPr>
            <w:tcW w:w="0" w:type="auto"/>
          </w:tcPr>
          <w:p w14:paraId="566CCCA8" w14:textId="77777777" w:rsidR="00622879" w:rsidRDefault="000F34D7">
            <w:pPr>
              <w:keepNext/>
              <w:jc w:val="center"/>
            </w:pPr>
            <w:r>
              <w:t>102</w:t>
            </w:r>
          </w:p>
        </w:tc>
        <w:tc>
          <w:tcPr>
            <w:tcW w:w="0" w:type="auto"/>
          </w:tcPr>
          <w:p w14:paraId="26F42FC3" w14:textId="77777777" w:rsidR="00622879" w:rsidRDefault="000F34D7">
            <w:pPr>
              <w:keepNext/>
              <w:jc w:val="center"/>
            </w:pPr>
            <w:r>
              <w:t>5</w:t>
            </w:r>
          </w:p>
        </w:tc>
      </w:tr>
    </w:tbl>
    <w:p w14:paraId="1FF2B629" w14:textId="77777777" w:rsidR="00622879" w:rsidRDefault="00622879"/>
    <w:tbl>
      <w:tblPr>
        <w:tblStyle w:val="VerticalTable"/>
        <w:tblW w:w="5000" w:type="pct"/>
        <w:tblLook w:val="04A0" w:firstRow="1" w:lastRow="0" w:firstColumn="1" w:lastColumn="0" w:noHBand="0" w:noVBand="1"/>
      </w:tblPr>
      <w:tblGrid>
        <w:gridCol w:w="3083"/>
        <w:gridCol w:w="6550"/>
      </w:tblGrid>
      <w:tr w:rsidR="00622879" w14:paraId="2FFC318D" w14:textId="77777777" w:rsidTr="00622879">
        <w:tc>
          <w:tcPr>
            <w:cnfStyle w:val="001000000000" w:firstRow="0" w:lastRow="0" w:firstColumn="1" w:lastColumn="0" w:oddVBand="0" w:evenVBand="0" w:oddHBand="0" w:evenHBand="0" w:firstRowFirstColumn="0" w:firstRowLastColumn="0" w:lastRowFirstColumn="0" w:lastRowLastColumn="0"/>
            <w:tcW w:w="1600" w:type="pct"/>
          </w:tcPr>
          <w:p w14:paraId="3D4304D5" w14:textId="77777777" w:rsidR="00622879" w:rsidRDefault="000F34D7">
            <w:r>
              <w:t>Nosilec predmeta/Lecturer:</w:t>
            </w:r>
          </w:p>
        </w:tc>
        <w:tc>
          <w:tcPr>
            <w:tcW w:w="3400" w:type="pct"/>
          </w:tcPr>
          <w:p w14:paraId="4F1D3EB9" w14:textId="77777777" w:rsidR="00622879" w:rsidRDefault="000F34D7">
            <w:pPr>
              <w:cnfStyle w:val="000000000000" w:firstRow="0" w:lastRow="0" w:firstColumn="0" w:lastColumn="0" w:oddVBand="0" w:evenVBand="0" w:oddHBand="0" w:evenHBand="0" w:firstRowFirstColumn="0" w:firstRowLastColumn="0" w:lastRowFirstColumn="0" w:lastRowLastColumn="0"/>
            </w:pPr>
            <w:r>
              <w:t xml:space="preserve">Peter Grilc                </w:t>
            </w:r>
          </w:p>
        </w:tc>
      </w:tr>
    </w:tbl>
    <w:p w14:paraId="7905A8BD" w14:textId="77777777" w:rsidR="00622879" w:rsidRDefault="00622879"/>
    <w:tbl>
      <w:tblPr>
        <w:tblStyle w:val="VerticalTable"/>
        <w:tblW w:w="5000" w:type="pct"/>
        <w:tblLook w:val="04A0" w:firstRow="1" w:lastRow="0" w:firstColumn="1" w:lastColumn="0" w:noHBand="0" w:noVBand="1"/>
      </w:tblPr>
      <w:tblGrid>
        <w:gridCol w:w="3083"/>
        <w:gridCol w:w="6550"/>
      </w:tblGrid>
      <w:tr w:rsidR="00622879" w14:paraId="7A2BAF27" w14:textId="77777777" w:rsidTr="00622879">
        <w:tc>
          <w:tcPr>
            <w:cnfStyle w:val="001000000000" w:firstRow="0" w:lastRow="0" w:firstColumn="1" w:lastColumn="0" w:oddVBand="0" w:evenVBand="0" w:oddHBand="0" w:evenHBand="0" w:firstRowFirstColumn="0" w:firstRowLastColumn="0" w:lastRowFirstColumn="0" w:lastRowLastColumn="0"/>
            <w:tcW w:w="1600" w:type="pct"/>
          </w:tcPr>
          <w:p w14:paraId="6927558A" w14:textId="77777777" w:rsidR="00622879" w:rsidRDefault="000F34D7">
            <w:r>
              <w:t>Vrsta predmeta/Course type:</w:t>
            </w:r>
          </w:p>
        </w:tc>
        <w:tc>
          <w:tcPr>
            <w:tcW w:w="3400" w:type="pct"/>
          </w:tcPr>
          <w:p w14:paraId="25098B24" w14:textId="77777777" w:rsidR="00622879" w:rsidRDefault="000F34D7">
            <w:pPr>
              <w:cnfStyle w:val="000000000000" w:firstRow="0" w:lastRow="0" w:firstColumn="0" w:lastColumn="0" w:oddVBand="0" w:evenVBand="0" w:oddHBand="0" w:evenHBand="0" w:firstRowFirstColumn="0" w:firstRowLastColumn="0" w:lastRowFirstColumn="0" w:lastRowLastColumn="0"/>
            </w:pPr>
            <w:r>
              <w:t>izbirni/Optional subject</w:t>
            </w:r>
          </w:p>
        </w:tc>
      </w:tr>
    </w:tbl>
    <w:p w14:paraId="78EB6B84" w14:textId="77777777" w:rsidR="00622879" w:rsidRDefault="00622879"/>
    <w:tbl>
      <w:tblPr>
        <w:tblStyle w:val="VerticalTable"/>
        <w:tblW w:w="5000" w:type="pct"/>
        <w:tblLook w:val="04A0" w:firstRow="1" w:lastRow="0" w:firstColumn="1" w:lastColumn="0" w:noHBand="0" w:noVBand="1"/>
      </w:tblPr>
      <w:tblGrid>
        <w:gridCol w:w="3082"/>
        <w:gridCol w:w="3083"/>
        <w:gridCol w:w="3468"/>
      </w:tblGrid>
      <w:tr w:rsidR="00622879" w14:paraId="12F178F6" w14:textId="77777777" w:rsidTr="00622879">
        <w:tc>
          <w:tcPr>
            <w:cnfStyle w:val="001000000000" w:firstRow="0" w:lastRow="0" w:firstColumn="1" w:lastColumn="0" w:oddVBand="0" w:evenVBand="0" w:oddHBand="0" w:evenHBand="0" w:firstRowFirstColumn="0" w:firstRowLastColumn="0" w:lastRowFirstColumn="0" w:lastRowLastColumn="0"/>
            <w:tcW w:w="1600" w:type="pct"/>
          </w:tcPr>
          <w:p w14:paraId="7A88ACFF" w14:textId="77777777" w:rsidR="00622879" w:rsidRDefault="000F34D7">
            <w:r>
              <w:t>Jeziki/Languages:</w:t>
            </w:r>
          </w:p>
        </w:tc>
        <w:tc>
          <w:tcPr>
            <w:tcW w:w="1600" w:type="pct"/>
          </w:tcPr>
          <w:p w14:paraId="6861B130" w14:textId="77777777" w:rsidR="00622879" w:rsidRDefault="000F34D7">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6D776B4" w14:textId="77777777" w:rsidR="00622879" w:rsidRDefault="000F34D7">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622879" w14:paraId="30FCEEC0" w14:textId="77777777" w:rsidTr="00622879">
        <w:tc>
          <w:tcPr>
            <w:cnfStyle w:val="001000000000" w:firstRow="0" w:lastRow="0" w:firstColumn="1" w:lastColumn="0" w:oddVBand="0" w:evenVBand="0" w:oddHBand="0" w:evenHBand="0" w:firstRowFirstColumn="0" w:firstRowLastColumn="0" w:lastRowFirstColumn="0" w:lastRowLastColumn="0"/>
            <w:tcW w:w="1600" w:type="pct"/>
          </w:tcPr>
          <w:p w14:paraId="54BA373A" w14:textId="77777777" w:rsidR="00622879" w:rsidRDefault="00622879"/>
        </w:tc>
        <w:tc>
          <w:tcPr>
            <w:tcW w:w="1600" w:type="pct"/>
          </w:tcPr>
          <w:p w14:paraId="06E59F50" w14:textId="77777777" w:rsidR="00622879" w:rsidRDefault="000F34D7">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21D817A" w14:textId="77777777" w:rsidR="00622879" w:rsidRDefault="000F34D7">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726015E3"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0F97A02E"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6B349302" w14:textId="77777777" w:rsidR="00622879" w:rsidRDefault="000F34D7">
            <w:r>
              <w:t>Pogoji za vključitev v delo oz. za opravljanje študijskih obveznosti:</w:t>
            </w:r>
          </w:p>
        </w:tc>
        <w:tc>
          <w:tcPr>
            <w:tcW w:w="2500" w:type="pct"/>
          </w:tcPr>
          <w:p w14:paraId="5AF8A325" w14:textId="77777777" w:rsidR="00622879" w:rsidRDefault="000F34D7">
            <w:r>
              <w:t>Prerequisites:</w:t>
            </w:r>
          </w:p>
        </w:tc>
      </w:tr>
      <w:tr w:rsidR="00622879" w14:paraId="7113D38C" w14:textId="77777777">
        <w:tc>
          <w:tcPr>
            <w:tcW w:w="0" w:type="auto"/>
          </w:tcPr>
          <w:p w14:paraId="46E8C11A" w14:textId="77777777" w:rsidR="00622879" w:rsidRDefault="000F34D7">
            <w:r>
              <w:t>Izpolnjevanje pogojev za vpis na doktorski študij Pravo in osnovno znanje s področja predmeta, ki ustreza znanju na tem področju, pridobljenem na ravni prve in (ali) druge stopnje študija prava.</w:t>
            </w:r>
          </w:p>
        </w:tc>
        <w:tc>
          <w:tcPr>
            <w:tcW w:w="0" w:type="auto"/>
          </w:tcPr>
          <w:p w14:paraId="6A44EBB8" w14:textId="77777777" w:rsidR="00622879" w:rsidRDefault="000F34D7">
            <w:r>
              <w:t>General conditions for enrolment into the Doctoral Programme in Legal Studies with a basic knowledge of the subject at the level of first and (or) second cycle programme in Legal Studies.</w:t>
            </w:r>
          </w:p>
        </w:tc>
      </w:tr>
    </w:tbl>
    <w:p w14:paraId="20A79CAB"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440FC134"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59321ADF" w14:textId="77777777" w:rsidR="00622879" w:rsidRDefault="000F34D7">
            <w:r>
              <w:t>Vsebina:</w:t>
            </w:r>
          </w:p>
        </w:tc>
        <w:tc>
          <w:tcPr>
            <w:tcW w:w="2500" w:type="pct"/>
          </w:tcPr>
          <w:p w14:paraId="723DB32D" w14:textId="77777777" w:rsidR="00622879" w:rsidRDefault="000F34D7">
            <w:r>
              <w:t>Content (Syllabus outline):</w:t>
            </w:r>
          </w:p>
        </w:tc>
      </w:tr>
      <w:tr w:rsidR="00622879" w14:paraId="2C1D7456" w14:textId="77777777">
        <w:tc>
          <w:tcPr>
            <w:tcW w:w="0" w:type="auto"/>
          </w:tcPr>
          <w:p w14:paraId="2B73CB79" w14:textId="77777777" w:rsidR="00622879" w:rsidRDefault="000F34D7">
            <w:r>
              <w:t>Predmet izhaja iz temeljnih področij združitev in prevzemov ter korporacij predstavlja nadgradnjo znanj z dodiplomskega in magistrskega študija. Izbor tem izhaja iz cilja, da se zagotovi povezava pridobljenih teoretičnih znanj in njihove uporabe v praksi. Za obravnavano področje je značilna tudi tesna povezava med substančnimi in procesnimi temami gospodarskega prava. Izbor tem zagotavlja koristnost pridobljenih znanj tako za pravnika v gospodarstvu, sodnika ali odvetnika, ki se ukvarja z gospodarskimi spor</w:t>
            </w:r>
            <w:r>
              <w:t xml:space="preserve">i, kot tudi za pravnike, ki se pri svojem delu in raziskovanju posvečajo civilnemu pravu v ožjem smislu. Nekaj tem pa je takšnih, da si jih izberejo bodisi študenti doktorskega študija </w:t>
            </w:r>
            <w:r>
              <w:lastRenderedPageBreak/>
              <w:t>civilnega prava, bodisi študenti doktorskega študija gospodarskega prava.</w:t>
            </w:r>
          </w:p>
          <w:p w14:paraId="1451A3CC" w14:textId="77777777" w:rsidR="00622879" w:rsidRDefault="000F34D7">
            <w:r>
              <w:t> </w:t>
            </w:r>
          </w:p>
          <w:p w14:paraId="1B057D7D" w14:textId="77777777" w:rsidR="00622879" w:rsidRDefault="000F34D7">
            <w:r>
              <w:t>Študijski program se prilagaja aktualnim problemom z navedenih področjih in predvsem razvoju novejše zakonodaje in sodne prakse. Centralna pozornost bo namenjena specialnim temam in posebnim zakonskim ureditvam, ki niso predmet splošne obravnave na prvi in drugi stopnji študija. Zato natančnejša predstavitev tem vnaprej ni mogoča.</w:t>
            </w:r>
          </w:p>
          <w:p w14:paraId="3CABD69D" w14:textId="77777777" w:rsidR="00622879" w:rsidRDefault="000F34D7">
            <w:r>
              <w:t> </w:t>
            </w:r>
          </w:p>
          <w:p w14:paraId="27551356" w14:textId="77777777" w:rsidR="00622879" w:rsidRDefault="000F34D7">
            <w:r>
              <w:t>Okvirni izbor tem:</w:t>
            </w:r>
          </w:p>
          <w:p w14:paraId="05D39CF8" w14:textId="77777777" w:rsidR="00622879" w:rsidRDefault="000F34D7">
            <w:r>
              <w:t>1. Izbrana poglavja ureditve trga telekomunikacij</w:t>
            </w:r>
          </w:p>
          <w:p w14:paraId="22397797" w14:textId="77777777" w:rsidR="00622879" w:rsidRDefault="000F34D7">
            <w:r>
              <w:t>2. Izbrana poglavja ureditve poštnega trga</w:t>
            </w:r>
          </w:p>
          <w:p w14:paraId="11AD96C1" w14:textId="77777777" w:rsidR="00622879" w:rsidRDefault="000F34D7">
            <w:r>
              <w:t>3. Izbrana poglavja ureditve energetskega trga</w:t>
            </w:r>
          </w:p>
          <w:p w14:paraId="4B7D14BF" w14:textId="77777777" w:rsidR="00622879" w:rsidRDefault="000F34D7">
            <w:r>
              <w:t>4. Izbrana poglavja ureditve bančnega trga in trgov finančnih instrumentov.</w:t>
            </w:r>
          </w:p>
        </w:tc>
        <w:tc>
          <w:tcPr>
            <w:tcW w:w="0" w:type="auto"/>
          </w:tcPr>
          <w:p w14:paraId="1891CACA" w14:textId="77777777" w:rsidR="00622879" w:rsidRDefault="000F34D7">
            <w:r>
              <w:lastRenderedPageBreak/>
              <w:t>The subject derives from the fundamental areas of mergers and acquisitions and corporations. It upgrades skills of undergraduate and postgraduate program. The selection of topics derives from the objective to ensure a continuum of theoretical knowledge and their application in practice. The area under consideration is characterized by a close link between the substantive and procedural business law topics. The selection of topics provides with the knowledge for the business lawyer, a judge or a lawyer who d</w:t>
            </w:r>
            <w:r>
              <w:t>eals with commercial disputes, as well as lawyers researching civil law in the strict sense. Some of the topics can be chosen either by PhD students of civil law, or PhD students of business law.</w:t>
            </w:r>
            <w:r>
              <w:br/>
            </w:r>
            <w:r>
              <w:lastRenderedPageBreak/>
              <w:br/>
              <w:t>The study program deals with the problems within the above areas and in particular the development of new legislation and case law. The central focus will be on special topics and special legal regimes, which are not subject to a general discussion at the first and second stage of the study. Therefore, a more accu</w:t>
            </w:r>
            <w:r>
              <w:t>rate presentation of this advance is not possible.</w:t>
            </w:r>
            <w:r>
              <w:br/>
            </w:r>
            <w:r>
              <w:br/>
              <w:t>Indicative list of topics:</w:t>
            </w:r>
            <w:r>
              <w:br/>
              <w:t>1. Topics concerning the regulation of the telecommunications market</w:t>
            </w:r>
            <w:r>
              <w:br/>
              <w:t>2. Selected topics concerning the regulation of the postal market</w:t>
            </w:r>
            <w:r>
              <w:br/>
              <w:t>3. Selected topics concerning the regulation of the energy market</w:t>
            </w:r>
            <w:r>
              <w:br/>
              <w:t>4. Topics concerning of the banking sector and the markets in financial instruments.</w:t>
            </w:r>
          </w:p>
        </w:tc>
      </w:tr>
    </w:tbl>
    <w:p w14:paraId="0104CFA1" w14:textId="77777777" w:rsidR="00622879" w:rsidRDefault="00622879"/>
    <w:tbl>
      <w:tblPr>
        <w:tblStyle w:val="DefaultTable"/>
        <w:tblW w:w="5000" w:type="pct"/>
        <w:tblLook w:val="04A0" w:firstRow="1" w:lastRow="0" w:firstColumn="1" w:lastColumn="0" w:noHBand="0" w:noVBand="1"/>
      </w:tblPr>
      <w:tblGrid>
        <w:gridCol w:w="9638"/>
      </w:tblGrid>
      <w:tr w:rsidR="00622879" w14:paraId="366A66D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9DF26F" w14:textId="77777777" w:rsidR="00622879" w:rsidRDefault="000F34D7">
            <w:r>
              <w:t>Temeljna literatura in viri/Readings:</w:t>
            </w:r>
          </w:p>
        </w:tc>
      </w:tr>
      <w:tr w:rsidR="00622879" w14:paraId="0978BEFF" w14:textId="77777777">
        <w:tc>
          <w:tcPr>
            <w:tcW w:w="0" w:type="auto"/>
          </w:tcPr>
          <w:p w14:paraId="2AF81545" w14:textId="77777777" w:rsidR="00622879" w:rsidRDefault="000F34D7">
            <w:pPr>
              <w:pStyle w:val="Odstavekseznama"/>
              <w:numPr>
                <w:ilvl w:val="0"/>
                <w:numId w:val="1"/>
              </w:numPr>
              <w:ind w:left="357" w:hanging="357"/>
            </w:pPr>
            <w:r>
              <w:t>Walden/Angel, Telecommunications Law and Regulation, Oxford University Press; 2Rev Ed edition (27 Jan 2005)</w:t>
            </w:r>
          </w:p>
          <w:p w14:paraId="0A54BB0E" w14:textId="77777777" w:rsidR="00622879" w:rsidRDefault="000F34D7">
            <w:pPr>
              <w:pStyle w:val="Odstavekseznama"/>
              <w:numPr>
                <w:ilvl w:val="0"/>
                <w:numId w:val="1"/>
              </w:numPr>
              <w:ind w:left="357" w:hanging="357"/>
            </w:pPr>
            <w:r>
              <w:t>Roggenkamp and others, Energy Law in Europe: National, EU and International Law and Institutions, Oxford University Press (11 Oct 2001).</w:t>
            </w:r>
          </w:p>
          <w:p w14:paraId="6F98CA65" w14:textId="77777777" w:rsidR="00622879" w:rsidRDefault="000F34D7">
            <w:pPr>
              <w:pStyle w:val="Odstavekseznama"/>
              <w:numPr>
                <w:ilvl w:val="0"/>
                <w:numId w:val="1"/>
              </w:numPr>
              <w:ind w:left="357" w:hanging="357"/>
            </w:pPr>
            <w:r>
              <w:t>Ellinger, Ellinger's Modern Banking Law, Oxford University Press, USA; 4 edition, 2005</w:t>
            </w:r>
          </w:p>
          <w:p w14:paraId="53997B60" w14:textId="77777777" w:rsidR="00622879" w:rsidRDefault="000F34D7">
            <w:pPr>
              <w:pStyle w:val="Odstavekseznama"/>
              <w:numPr>
                <w:ilvl w:val="0"/>
                <w:numId w:val="1"/>
              </w:numPr>
              <w:ind w:left="357" w:hanging="357"/>
            </w:pPr>
            <w:r>
              <w:t>Markets in Financial Instruments Directive: Law and Practice (MiFID) SPECIAL REPORT, Tottel Publishing, 2008.</w:t>
            </w:r>
          </w:p>
          <w:p w14:paraId="421F074A" w14:textId="77777777" w:rsidR="00622879" w:rsidRDefault="000F34D7">
            <w:r>
              <w:t> </w:t>
            </w:r>
          </w:p>
          <w:p w14:paraId="3B676D90" w14:textId="77777777" w:rsidR="00622879" w:rsidRDefault="000F34D7">
            <w:r>
              <w:t>Seznam strokovnih člankov za posamezne teme se objavi posebej.</w:t>
            </w:r>
          </w:p>
          <w:p w14:paraId="09E2F253" w14:textId="77777777" w:rsidR="00622879" w:rsidRDefault="000F34D7">
            <w:r>
              <w:t>Nabor literature se vsako leto dopolni z aktualnimi deli s področja problemov, ki se obravnavajo</w:t>
            </w:r>
          </w:p>
          <w:p w14:paraId="627718CA" w14:textId="77777777" w:rsidR="00622879" w:rsidRDefault="000F34D7">
            <w:r>
              <w:t> </w:t>
            </w:r>
          </w:p>
          <w:p w14:paraId="0DFEF7E5" w14:textId="77777777" w:rsidR="00622879" w:rsidRDefault="000F34D7">
            <w:r>
              <w:t>The List of articles for each topic will be published separately. A range of literature each year supplemented with the latest components from the field of problems to be addressed.</w:t>
            </w:r>
          </w:p>
        </w:tc>
      </w:tr>
    </w:tbl>
    <w:p w14:paraId="7843F5F4"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083F03FC"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623F901E" w14:textId="77777777" w:rsidR="00622879" w:rsidRDefault="000F34D7">
            <w:r>
              <w:t>Cilji in kompetence:</w:t>
            </w:r>
          </w:p>
        </w:tc>
        <w:tc>
          <w:tcPr>
            <w:tcW w:w="2500" w:type="pct"/>
          </w:tcPr>
          <w:p w14:paraId="3B88C01E" w14:textId="77777777" w:rsidR="00622879" w:rsidRDefault="000F34D7">
            <w:r>
              <w:t>Objectives and competences:</w:t>
            </w:r>
          </w:p>
        </w:tc>
      </w:tr>
      <w:tr w:rsidR="00622879" w14:paraId="47D63FFE" w14:textId="77777777">
        <w:tc>
          <w:tcPr>
            <w:tcW w:w="0" w:type="auto"/>
          </w:tcPr>
          <w:p w14:paraId="7488A027" w14:textId="77777777" w:rsidR="00622879" w:rsidRDefault="000F34D7">
            <w:r>
              <w:t>Cilj predmeta je poglobljen študij izbranih poglavij predmeta. Posamezni problemi se obravnavajo medsebojno povezovalno in s povezovanjem sodne prakse ter teorije.</w:t>
            </w:r>
          </w:p>
          <w:p w14:paraId="3874EE8E" w14:textId="77777777" w:rsidR="00622879" w:rsidRDefault="000F34D7">
            <w:r>
              <w:t> </w:t>
            </w:r>
          </w:p>
          <w:p w14:paraId="78F0971F" w14:textId="77777777" w:rsidR="00622879" w:rsidRDefault="000F34D7">
            <w:r>
              <w:t>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40E282C9" w14:textId="77777777" w:rsidR="00622879" w:rsidRDefault="000F34D7">
            <w:r>
              <w:t>The aim of the course is an in-depth study of selected chapters of the subject. Individual problems are dealt with mutual connection and integration of case law and theory.</w:t>
            </w:r>
          </w:p>
          <w:p w14:paraId="4CC0430B" w14:textId="77777777" w:rsidR="00622879" w:rsidRDefault="000F34D7">
            <w:r>
              <w:t> </w:t>
            </w:r>
          </w:p>
          <w:p w14:paraId="06D8D7AA" w14:textId="77777777" w:rsidR="00622879" w:rsidRDefault="000F34D7">
            <w:r>
              <w:t>Students will acquire the ability to scientific analysis of problems with those legal disciplines, evaluation of various theoretical positions, the use of comparative legal methods, critical analysis of the case and demanding the creation of a written argument.</w:t>
            </w:r>
          </w:p>
        </w:tc>
      </w:tr>
    </w:tbl>
    <w:p w14:paraId="0161C5B3"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69B8EC98"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1EEA1003" w14:textId="77777777" w:rsidR="00622879" w:rsidRDefault="000F34D7">
            <w:r>
              <w:t>Predvideni študijski rezultati:</w:t>
            </w:r>
          </w:p>
        </w:tc>
        <w:tc>
          <w:tcPr>
            <w:tcW w:w="2500" w:type="pct"/>
          </w:tcPr>
          <w:p w14:paraId="14750E79" w14:textId="77777777" w:rsidR="00622879" w:rsidRDefault="000F34D7">
            <w:r>
              <w:t>Intended learning outcomes:</w:t>
            </w:r>
          </w:p>
        </w:tc>
      </w:tr>
      <w:tr w:rsidR="00622879" w14:paraId="5F7053B7" w14:textId="77777777">
        <w:tc>
          <w:tcPr>
            <w:tcW w:w="0" w:type="auto"/>
          </w:tcPr>
          <w:p w14:paraId="765960FD" w14:textId="77777777" w:rsidR="00622879" w:rsidRDefault="000F34D7">
            <w:r>
              <w:t>Znanje in razumevanje:</w:t>
            </w:r>
          </w:p>
          <w:p w14:paraId="5DEAC34B" w14:textId="77777777" w:rsidR="00622879" w:rsidRDefault="000F34D7">
            <w:r>
              <w:t xml:space="preserve">Cilj predmeta je poglobljen študij izbranih poglavij prava reguliranih trgov. Posamezni problemi se obravnavajo medsebojno povezovalno in s povezovanjem sodne prakse ter teorije. Študent pridobi sposobnost znanstvene analize problemov z navedenih pravnih disciplin, vrednotenja različnih teoretičnih stališč, uporabo primerjalno pravne </w:t>
            </w:r>
            <w:r>
              <w:lastRenderedPageBreak/>
              <w:t>metode, kritične analize sodne prakse in pisnega oblikovanja zahtevnejše argumentacije.</w:t>
            </w:r>
          </w:p>
        </w:tc>
        <w:tc>
          <w:tcPr>
            <w:tcW w:w="0" w:type="auto"/>
          </w:tcPr>
          <w:p w14:paraId="1252F7FB" w14:textId="77777777" w:rsidR="00622879" w:rsidRDefault="000F34D7">
            <w:r>
              <w:lastRenderedPageBreak/>
              <w:t>Knowledge and understanding:</w:t>
            </w:r>
          </w:p>
          <w:p w14:paraId="14000299" w14:textId="77777777" w:rsidR="00622879" w:rsidRDefault="000F34D7">
            <w:r>
              <w:t>The goal is an analytical study of selected topics in the area of regulated markets. Students will acquire the ability for scientific analysis of problems with those legal disciplines, evaluation of various theoretical positions, the use of comparative legal methods, critical analysis of the case and demanding the creation of a written argument.</w:t>
            </w:r>
          </w:p>
        </w:tc>
      </w:tr>
    </w:tbl>
    <w:p w14:paraId="73486CCB"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07821CA8"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3C82955E" w14:textId="77777777" w:rsidR="00622879" w:rsidRDefault="000F34D7">
            <w:r>
              <w:t>Metode poučevanja in učenja:</w:t>
            </w:r>
          </w:p>
        </w:tc>
        <w:tc>
          <w:tcPr>
            <w:tcW w:w="2500" w:type="pct"/>
          </w:tcPr>
          <w:p w14:paraId="78A90718" w14:textId="77777777" w:rsidR="00622879" w:rsidRDefault="000F34D7">
            <w:r>
              <w:t>Learning and teaching methods:</w:t>
            </w:r>
          </w:p>
        </w:tc>
      </w:tr>
      <w:tr w:rsidR="00622879" w14:paraId="3A8D4AE3" w14:textId="77777777">
        <w:tc>
          <w:tcPr>
            <w:tcW w:w="0" w:type="auto"/>
          </w:tcPr>
          <w:p w14:paraId="2592131A" w14:textId="77777777" w:rsidR="00622879" w:rsidRDefault="000F34D7">
            <w:r>
              <w:t>Predavanja – predavajo se izbrane teme, ki se določijo posebej glede na razvoj teorije, zakonodaje in sodne prakse.</w:t>
            </w:r>
          </w:p>
          <w:p w14:paraId="6FF39D84" w14:textId="77777777" w:rsidR="00622879" w:rsidRDefault="000F34D7">
            <w:r>
              <w:t>Seminarske vaje – na seminarskih vajah študente z učiteljem analizirajo pomembne sodne odločbe ter rešujejo praktične primere, študentje pa predstavijo vsebino seminarske naloge</w:t>
            </w:r>
          </w:p>
          <w:p w14:paraId="6FEEBF52" w14:textId="77777777" w:rsidR="00622879" w:rsidRDefault="000F34D7">
            <w:r>
              <w:t>Drugo – izdelava seminarske naloge, ki obravnava zahtevnejši pravni problem z navedenih področij.</w:t>
            </w:r>
          </w:p>
          <w:p w14:paraId="352E9C0F" w14:textId="77777777" w:rsidR="00622879" w:rsidRDefault="000F34D7">
            <w:r>
              <w:t>Individualni študij za izpit.</w:t>
            </w:r>
          </w:p>
        </w:tc>
        <w:tc>
          <w:tcPr>
            <w:tcW w:w="0" w:type="auto"/>
          </w:tcPr>
          <w:p w14:paraId="5825BB3F" w14:textId="77777777" w:rsidR="00622879" w:rsidRDefault="000F34D7">
            <w:r>
              <w:t>Lectures - lectures in selected topics to be determined specifically in relation to the development of the theory, legislation and case law.</w:t>
            </w:r>
            <w:r>
              <w:br/>
              <w:t>Tutorials - students and professor shall analyze the relevant court decisions and solve practical examples, students could present the content of seminar papers</w:t>
            </w:r>
            <w:r>
              <w:br/>
              <w:t>Other - seminar paper, which deals with more complex legal problem with these areas.</w:t>
            </w:r>
            <w:r>
              <w:br/>
              <w:t>Individual study for the exam.</w:t>
            </w:r>
          </w:p>
        </w:tc>
      </w:tr>
    </w:tbl>
    <w:p w14:paraId="597EA8A0" w14:textId="77777777" w:rsidR="00622879" w:rsidRDefault="00622879"/>
    <w:tbl>
      <w:tblPr>
        <w:tblStyle w:val="DefaultTable"/>
        <w:tblW w:w="5000" w:type="pct"/>
        <w:tblLook w:val="04A0" w:firstRow="1" w:lastRow="0" w:firstColumn="1" w:lastColumn="0" w:noHBand="0" w:noVBand="1"/>
      </w:tblPr>
      <w:tblGrid>
        <w:gridCol w:w="4045"/>
        <w:gridCol w:w="1548"/>
        <w:gridCol w:w="4045"/>
      </w:tblGrid>
      <w:tr w:rsidR="00622879" w14:paraId="0267B7A6" w14:textId="77777777" w:rsidTr="00622879">
        <w:trPr>
          <w:cnfStyle w:val="100000000000" w:firstRow="1" w:lastRow="0" w:firstColumn="0" w:lastColumn="0" w:oddVBand="0" w:evenVBand="0" w:oddHBand="0" w:evenHBand="0" w:firstRowFirstColumn="0" w:firstRowLastColumn="0" w:lastRowFirstColumn="0" w:lastRowLastColumn="0"/>
        </w:trPr>
        <w:tc>
          <w:tcPr>
            <w:tcW w:w="2200" w:type="pct"/>
          </w:tcPr>
          <w:p w14:paraId="6B17EADF" w14:textId="77777777" w:rsidR="00622879" w:rsidRDefault="000F34D7">
            <w:r>
              <w:t>Načini ocenjevanja:</w:t>
            </w:r>
          </w:p>
        </w:tc>
        <w:tc>
          <w:tcPr>
            <w:tcW w:w="600" w:type="pct"/>
          </w:tcPr>
          <w:p w14:paraId="0F9A6AAB" w14:textId="77777777" w:rsidR="00622879" w:rsidRDefault="000F34D7">
            <w:pPr>
              <w:keepNext/>
              <w:jc w:val="center"/>
            </w:pPr>
            <w:r>
              <w:t>Delež/Weight</w:t>
            </w:r>
          </w:p>
        </w:tc>
        <w:tc>
          <w:tcPr>
            <w:tcW w:w="2200" w:type="pct"/>
          </w:tcPr>
          <w:p w14:paraId="31FAED20" w14:textId="77777777" w:rsidR="00622879" w:rsidRDefault="000F34D7">
            <w:r>
              <w:t>Assessment:</w:t>
            </w:r>
          </w:p>
        </w:tc>
      </w:tr>
      <w:tr w:rsidR="00622879" w14:paraId="2F4E9892" w14:textId="77777777">
        <w:tc>
          <w:tcPr>
            <w:tcW w:w="0" w:type="auto"/>
          </w:tcPr>
          <w:p w14:paraId="5FFD18AB" w14:textId="77777777" w:rsidR="00622879" w:rsidRDefault="000F34D7">
            <w:r>
              <w:t>Način (pisni izpit, ustno izpraševanje, naloge, projekt): Ustni izpit.</w:t>
            </w:r>
          </w:p>
        </w:tc>
        <w:tc>
          <w:tcPr>
            <w:tcW w:w="0" w:type="auto"/>
          </w:tcPr>
          <w:p w14:paraId="0BA84F43" w14:textId="77777777" w:rsidR="00622879" w:rsidRDefault="000F34D7">
            <w:pPr>
              <w:keepNext/>
              <w:jc w:val="center"/>
            </w:pPr>
            <w:r>
              <w:t>100,00 %</w:t>
            </w:r>
          </w:p>
        </w:tc>
        <w:tc>
          <w:tcPr>
            <w:tcW w:w="0" w:type="auto"/>
          </w:tcPr>
          <w:p w14:paraId="52F5807A" w14:textId="77777777" w:rsidR="00622879" w:rsidRDefault="000F34D7">
            <w:r>
              <w:t>Type (examination, oral, coursework, project): Oral exam.</w:t>
            </w:r>
          </w:p>
        </w:tc>
      </w:tr>
    </w:tbl>
    <w:p w14:paraId="753FE11E" w14:textId="77777777" w:rsidR="00622879" w:rsidRDefault="00622879"/>
    <w:tbl>
      <w:tblPr>
        <w:tblStyle w:val="DefaultTable"/>
        <w:tblW w:w="5000" w:type="pct"/>
        <w:tblLook w:val="04A0" w:firstRow="1" w:lastRow="0" w:firstColumn="1" w:lastColumn="0" w:noHBand="0" w:noVBand="1"/>
      </w:tblPr>
      <w:tblGrid>
        <w:gridCol w:w="4819"/>
        <w:gridCol w:w="4819"/>
      </w:tblGrid>
      <w:tr w:rsidR="00622879" w14:paraId="43FC61CF" w14:textId="77777777" w:rsidTr="00622879">
        <w:trPr>
          <w:cnfStyle w:val="100000000000" w:firstRow="1" w:lastRow="0" w:firstColumn="0" w:lastColumn="0" w:oddVBand="0" w:evenVBand="0" w:oddHBand="0" w:evenHBand="0" w:firstRowFirstColumn="0" w:firstRowLastColumn="0" w:lastRowFirstColumn="0" w:lastRowLastColumn="0"/>
        </w:trPr>
        <w:tc>
          <w:tcPr>
            <w:tcW w:w="2500" w:type="pct"/>
          </w:tcPr>
          <w:p w14:paraId="2EAC3210" w14:textId="77777777" w:rsidR="00622879" w:rsidRDefault="000F34D7">
            <w:r>
              <w:t>Ocenjevalna lestvica:</w:t>
            </w:r>
          </w:p>
        </w:tc>
        <w:tc>
          <w:tcPr>
            <w:tcW w:w="2500" w:type="pct"/>
          </w:tcPr>
          <w:p w14:paraId="1F095486" w14:textId="77777777" w:rsidR="00622879" w:rsidRDefault="000F34D7">
            <w:r>
              <w:t>Grading system:</w:t>
            </w:r>
          </w:p>
        </w:tc>
      </w:tr>
      <w:tr w:rsidR="00622879" w14:paraId="23B882FC" w14:textId="77777777">
        <w:tc>
          <w:tcPr>
            <w:tcW w:w="0" w:type="auto"/>
          </w:tcPr>
          <w:p w14:paraId="444126D4" w14:textId="77777777" w:rsidR="00622879" w:rsidRDefault="00622879"/>
        </w:tc>
        <w:tc>
          <w:tcPr>
            <w:tcW w:w="0" w:type="auto"/>
          </w:tcPr>
          <w:p w14:paraId="127B6AAF" w14:textId="77777777" w:rsidR="00622879" w:rsidRDefault="00622879"/>
        </w:tc>
      </w:tr>
    </w:tbl>
    <w:p w14:paraId="7885B4FE" w14:textId="77777777" w:rsidR="00622879" w:rsidRDefault="00622879"/>
    <w:tbl>
      <w:tblPr>
        <w:tblStyle w:val="DefaultTable"/>
        <w:tblW w:w="5000" w:type="pct"/>
        <w:tblLook w:val="04A0" w:firstRow="1" w:lastRow="0" w:firstColumn="1" w:lastColumn="0" w:noHBand="0" w:noVBand="1"/>
      </w:tblPr>
      <w:tblGrid>
        <w:gridCol w:w="9638"/>
      </w:tblGrid>
      <w:tr w:rsidR="00622879" w14:paraId="308BE4D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C7D5DFF" w14:textId="77777777" w:rsidR="00622879" w:rsidRDefault="000F34D7">
            <w:r>
              <w:t>Reference nosilca/Lecturer's references:</w:t>
            </w:r>
          </w:p>
        </w:tc>
      </w:tr>
      <w:tr w:rsidR="00622879" w14:paraId="1F994DBB" w14:textId="77777777">
        <w:tc>
          <w:tcPr>
            <w:tcW w:w="0" w:type="auto"/>
          </w:tcPr>
          <w:p w14:paraId="01D7DB57" w14:textId="77777777" w:rsidR="00622879" w:rsidRDefault="000F34D7">
            <w:r>
              <w:t>GRILC, Peter. O temeljnih tipih pogodb. Zb. znan. razpr. (Prav. fak. 1991), 1995, letn. 55, str. 89-105.</w:t>
            </w:r>
          </w:p>
          <w:p w14:paraId="51063F0B" w14:textId="77777777" w:rsidR="00622879" w:rsidRDefault="000F34D7">
            <w:r>
              <w:t>GRILC, Peter. Šokantna reklama - med etiko, moralo in komercialnostjo. Zb. znan. razpr. (Prav. fak. 1991), 1996, letn. 56, str. 97-120.</w:t>
            </w:r>
          </w:p>
          <w:p w14:paraId="77AD69CD" w14:textId="77777777" w:rsidR="00622879" w:rsidRDefault="000F34D7">
            <w:r>
              <w:t>GRILC, Peter. Reforma konkurenčnega prava v EU. Zb. znan. razpr. (Prav. fak. 1991), 2000, letn. 60, št. 2, str. 51-75.</w:t>
            </w:r>
          </w:p>
          <w:p w14:paraId="52C0E864" w14:textId="77777777" w:rsidR="00622879" w:rsidRDefault="000F34D7">
            <w:r>
              <w:t>GRILC, Peter. Nove ekonomije, sektorji, produkcijski faktorji in konkurenčno pravo. Podjet. delo, str. 1476-1485.</w:t>
            </w:r>
          </w:p>
          <w:p w14:paraId="4DA0152D" w14:textId="77777777" w:rsidR="00622879" w:rsidRDefault="000F34D7">
            <w:r>
              <w:t>GRILC, Peter. Meje konkurence, konkurenčne politike in konkurenčnega prava. Javna uprava, 2007, letn. 43, št. 1, str. 117-143.</w:t>
            </w:r>
          </w:p>
          <w:p w14:paraId="115938D1" w14:textId="77777777" w:rsidR="00622879" w:rsidRDefault="000F34D7">
            <w:r>
              <w:t>GRILC, Peter. Moderni tipi pogodb avtonomnega gospodarskega prava. Ljubljana: Gospodarski vestnik, 1996. 265 str. ISBN 86-7061-132-5.</w:t>
            </w:r>
          </w:p>
          <w:p w14:paraId="26E558C2" w14:textId="77777777" w:rsidR="00622879" w:rsidRDefault="000F34D7">
            <w:r>
              <w:t xml:space="preserve">GRILC, Peter. Pogodba o tujih investicijah z zasebnopravnega vidika. Podjetje in delo, ISSN 0353-6521, 2015, letn. 41, št. 1, str. 23-34. [COBISS.SI-ID </w:t>
            </w:r>
            <w:hyperlink r:id="rId6" w:history="1">
              <w:r>
                <w:rPr>
                  <w:rStyle w:val="Hiperpovezava"/>
                </w:rPr>
                <w:t>14210897</w:t>
              </w:r>
            </w:hyperlink>
            <w:r>
              <w:t>]</w:t>
            </w:r>
          </w:p>
          <w:p w14:paraId="478AD21C" w14:textId="77777777" w:rsidR="00622879" w:rsidRDefault="000F34D7">
            <w:r>
              <w:t xml:space="preserve">GRILC, Peter. Problematika dodatnih pogojev ali zahtev prodajalca pri prodaji podjetja v državni lasti z vidika pravil o državnih pomočeh. Podjetje in delo, ISSN 0353-6521, 2014, letn. 40, št. 5, str. 681-691. [COBISS.SI-ID </w:t>
            </w:r>
            <w:hyperlink r:id="rId7" w:history="1">
              <w:r>
                <w:rPr>
                  <w:rStyle w:val="Hiperpovezava"/>
                </w:rPr>
                <w:t>13906769</w:t>
              </w:r>
            </w:hyperlink>
            <w:r>
              <w:t>] kategorija: 1C (Z); uvrstitev: MBP; tipologijo je verificiral OSICD.</w:t>
            </w:r>
          </w:p>
          <w:p w14:paraId="33AB4886" w14:textId="77777777" w:rsidR="00622879" w:rsidRDefault="000F34D7">
            <w:r>
              <w:t xml:space="preserve">GRILC, Peter. Gospodarska/finančna kriza kot spremenjena okoliščina. Pravni letopis ..., ISSN 1855-5861, 2011, str. 33-46, 378-379. [COBISS.SI-ID </w:t>
            </w:r>
            <w:hyperlink r:id="rId8" w:history="1">
              <w:r>
                <w:rPr>
                  <w:rStyle w:val="Hiperpovezava"/>
                </w:rPr>
                <w:t>12160593</w:t>
              </w:r>
            </w:hyperlink>
            <w:r>
              <w:t>]</w:t>
            </w:r>
          </w:p>
          <w:p w14:paraId="4D0A1A0A" w14:textId="77777777" w:rsidR="00622879" w:rsidRDefault="000F34D7">
            <w:r>
              <w:t xml:space="preserve">GRILC, Peter. Konkurenčno pravo v obdobju gospodarske krize (državne pomoči). Podjetje in delo, ISSN 0353-6521, 2010, let. 36, št. 8, str. 1453-1469. [COBISS.SI-ID </w:t>
            </w:r>
            <w:hyperlink r:id="rId9" w:history="1">
              <w:r>
                <w:rPr>
                  <w:rStyle w:val="Hiperpovezava"/>
                </w:rPr>
                <w:t>11266641</w:t>
              </w:r>
            </w:hyperlink>
            <w:r>
              <w:t>]</w:t>
            </w:r>
          </w:p>
          <w:p w14:paraId="1795D7EA" w14:textId="77777777" w:rsidR="00622879" w:rsidRDefault="000F34D7">
            <w:r>
              <w:t xml:space="preserve">GRILC, Peter. Pravna narava distribucijske pogodbe. Zbornik znanstvenih razprav, ISSN 1854-3839, 2010, letn. 70, str. 95-126. [COBISS.SI-ID </w:t>
            </w:r>
            <w:hyperlink r:id="rId10" w:history="1">
              <w:r>
                <w:rPr>
                  <w:rStyle w:val="Hiperpovezava"/>
                </w:rPr>
                <w:t>10909009]</w:t>
              </w:r>
            </w:hyperlink>
          </w:p>
          <w:p w14:paraId="6A88DD29" w14:textId="77777777" w:rsidR="00622879" w:rsidRDefault="000F34D7">
            <w:r>
              <w:t> </w:t>
            </w:r>
          </w:p>
        </w:tc>
      </w:tr>
    </w:tbl>
    <w:p w14:paraId="5747BE9F" w14:textId="77777777" w:rsidR="000F34D7" w:rsidRDefault="000F34D7"/>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3F1"/>
    <w:multiLevelType w:val="singleLevel"/>
    <w:tmpl w:val="86782EC4"/>
    <w:lvl w:ilvl="0">
      <w:start w:val="1"/>
      <w:numFmt w:val="lowerLetter"/>
      <w:lvlText w:val="%1."/>
      <w:lvlJc w:val="left"/>
      <w:pPr>
        <w:ind w:left="420" w:hanging="360"/>
      </w:pPr>
    </w:lvl>
  </w:abstractNum>
  <w:abstractNum w:abstractNumId="1" w15:restartNumberingAfterBreak="0">
    <w:nsid w:val="0C7D43DF"/>
    <w:multiLevelType w:val="singleLevel"/>
    <w:tmpl w:val="1DB65A7C"/>
    <w:lvl w:ilvl="0">
      <w:numFmt w:val="bullet"/>
      <w:lvlText w:val="o"/>
      <w:lvlJc w:val="left"/>
      <w:pPr>
        <w:ind w:left="420" w:hanging="360"/>
      </w:pPr>
    </w:lvl>
  </w:abstractNum>
  <w:abstractNum w:abstractNumId="2" w15:restartNumberingAfterBreak="0">
    <w:nsid w:val="127E2F42"/>
    <w:multiLevelType w:val="singleLevel"/>
    <w:tmpl w:val="5486F4C0"/>
    <w:lvl w:ilvl="0">
      <w:start w:val="1"/>
      <w:numFmt w:val="upperLetter"/>
      <w:lvlText w:val="%1."/>
      <w:lvlJc w:val="left"/>
      <w:pPr>
        <w:ind w:left="420" w:hanging="360"/>
      </w:pPr>
    </w:lvl>
  </w:abstractNum>
  <w:abstractNum w:abstractNumId="3" w15:restartNumberingAfterBreak="0">
    <w:nsid w:val="26780DB7"/>
    <w:multiLevelType w:val="singleLevel"/>
    <w:tmpl w:val="A31257E0"/>
    <w:lvl w:ilvl="0">
      <w:start w:val="1"/>
      <w:numFmt w:val="upperRoman"/>
      <w:lvlText w:val="%1."/>
      <w:lvlJc w:val="left"/>
      <w:pPr>
        <w:ind w:left="420" w:hanging="360"/>
      </w:pPr>
    </w:lvl>
  </w:abstractNum>
  <w:abstractNum w:abstractNumId="4" w15:restartNumberingAfterBreak="0">
    <w:nsid w:val="40F653D8"/>
    <w:multiLevelType w:val="singleLevel"/>
    <w:tmpl w:val="7BA2921A"/>
    <w:lvl w:ilvl="0">
      <w:start w:val="1"/>
      <w:numFmt w:val="lowerRoman"/>
      <w:lvlText w:val="%1."/>
      <w:lvlJc w:val="left"/>
      <w:pPr>
        <w:ind w:left="420" w:hanging="360"/>
      </w:pPr>
    </w:lvl>
  </w:abstractNum>
  <w:abstractNum w:abstractNumId="5" w15:restartNumberingAfterBreak="0">
    <w:nsid w:val="46AE31E5"/>
    <w:multiLevelType w:val="singleLevel"/>
    <w:tmpl w:val="A92ED1EC"/>
    <w:lvl w:ilvl="0">
      <w:numFmt w:val="bullet"/>
      <w:lvlText w:val="▪"/>
      <w:lvlJc w:val="left"/>
      <w:pPr>
        <w:ind w:left="420" w:hanging="360"/>
      </w:pPr>
    </w:lvl>
  </w:abstractNum>
  <w:abstractNum w:abstractNumId="6" w15:restartNumberingAfterBreak="0">
    <w:nsid w:val="49517401"/>
    <w:multiLevelType w:val="singleLevel"/>
    <w:tmpl w:val="1A56A12A"/>
    <w:lvl w:ilvl="0">
      <w:start w:val="1"/>
      <w:numFmt w:val="decimal"/>
      <w:lvlText w:val="%1."/>
      <w:lvlJc w:val="left"/>
      <w:pPr>
        <w:ind w:left="420" w:hanging="360"/>
      </w:pPr>
    </w:lvl>
  </w:abstractNum>
  <w:abstractNum w:abstractNumId="7" w15:restartNumberingAfterBreak="0">
    <w:nsid w:val="4FA771AB"/>
    <w:multiLevelType w:val="singleLevel"/>
    <w:tmpl w:val="208CF8AA"/>
    <w:lvl w:ilvl="0">
      <w:numFmt w:val="bullet"/>
      <w:lvlText w:val="•"/>
      <w:lvlJc w:val="left"/>
      <w:pPr>
        <w:ind w:left="420" w:hanging="360"/>
      </w:pPr>
    </w:lvl>
  </w:abstractNum>
  <w:num w:numId="1" w16cid:durableId="19141220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0F34D7"/>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22879"/>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74E5F"/>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5691"/>
  <w15:chartTrackingRefBased/>
  <w15:docId w15:val="{FDE1AB41-8065-42C5-A84A-C57D9AAB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character" w:styleId="Hiperpovezava">
    <w:name w:val="Hyperlink"/>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biss.izum.si/scripts/cobiss?command=DISPLAY&amp;amp;base=COBIB&amp;amp;RID=12160593" TargetMode="External"/><Relationship Id="rId3" Type="http://schemas.openxmlformats.org/officeDocument/2006/relationships/styles" Target="styles.xml"/><Relationship Id="rId7" Type="http://schemas.openxmlformats.org/officeDocument/2006/relationships/hyperlink" Target="http://cobiss.izum.si/scripts/cobiss?command=DISPLAY&amp;amp;base=COBIB&amp;amp;RID=1390676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biss.izum.si/scripts/cobiss?command=DISPLAY&amp;amp;base=COBIB&amp;amp;RID=1421089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biss.izum.si/scripts/cobiss?command=DISPLAY&amp;amp;base=COBIB&amp;amp;RID=10909009" TargetMode="External"/><Relationship Id="rId4" Type="http://schemas.openxmlformats.org/officeDocument/2006/relationships/settings" Target="settings.xml"/><Relationship Id="rId9" Type="http://schemas.openxmlformats.org/officeDocument/2006/relationships/hyperlink" Target="http://cobiss.izum.si/scripts/cobiss?command=DISPLAY&amp;amp;base=COBIB&amp;amp;RID=11266641"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2025-05-09T08:19:00Z</dcterms:created>
  <dcterms:modified xsi:type="dcterms:W3CDTF">2025-05-09T08:19:00Z</dcterms:modified>
</cp:coreProperties>
</file>