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259BB" w14:textId="77777777" w:rsidR="008F5C83" w:rsidRDefault="00C74657">
      <w:pPr>
        <w:pStyle w:val="Heading1"/>
      </w:pPr>
      <w:r>
        <w:t>Skupna zunanja in varnostna politika EU</w:t>
      </w:r>
      <w:r>
        <w:br/>
      </w:r>
      <w:r>
        <w:br/>
        <w:t>Učni načrt predmeta/Course syllabus</w:t>
      </w:r>
    </w:p>
    <w:tbl>
      <w:tblPr>
        <w:tblStyle w:val="VerticalTable"/>
        <w:tblW w:w="5000" w:type="pct"/>
        <w:tblLook w:val="04A0" w:firstRow="1" w:lastRow="0" w:firstColumn="1" w:lastColumn="0" w:noHBand="0" w:noVBand="1"/>
      </w:tblPr>
      <w:tblGrid>
        <w:gridCol w:w="4947"/>
        <w:gridCol w:w="4686"/>
      </w:tblGrid>
      <w:tr w:rsidR="008F5C83" w14:paraId="2649672A"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0B095D3D" w14:textId="77777777" w:rsidR="008F5C83" w:rsidRDefault="00C74657">
            <w:r>
              <w:t>Predmet:</w:t>
            </w:r>
          </w:p>
        </w:tc>
        <w:tc>
          <w:tcPr>
            <w:tcW w:w="0" w:type="pct"/>
          </w:tcPr>
          <w:p w14:paraId="014A9BD8" w14:textId="77777777" w:rsidR="008F5C83" w:rsidRDefault="00C74657">
            <w:pPr>
              <w:cnfStyle w:val="000000000000" w:firstRow="0" w:lastRow="0" w:firstColumn="0" w:lastColumn="0" w:oddVBand="0" w:evenVBand="0" w:oddHBand="0" w:evenHBand="0" w:firstRowFirstColumn="0" w:firstRowLastColumn="0" w:lastRowFirstColumn="0" w:lastRowLastColumn="0"/>
            </w:pPr>
            <w:r>
              <w:t>Skupna zunanja in varnostna politika EU</w:t>
            </w:r>
          </w:p>
        </w:tc>
      </w:tr>
      <w:tr w:rsidR="008F5C83" w14:paraId="3C466D58"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69078ADA" w14:textId="77777777" w:rsidR="008F5C83" w:rsidRDefault="00C74657">
            <w:r>
              <w:t>Course title:</w:t>
            </w:r>
          </w:p>
        </w:tc>
        <w:tc>
          <w:tcPr>
            <w:tcW w:w="0" w:type="pct"/>
          </w:tcPr>
          <w:p w14:paraId="6166B54E" w14:textId="77777777" w:rsidR="008F5C83" w:rsidRDefault="00C74657">
            <w:pPr>
              <w:cnfStyle w:val="000000000000" w:firstRow="0" w:lastRow="0" w:firstColumn="0" w:lastColumn="0" w:oddVBand="0" w:evenVBand="0" w:oddHBand="0" w:evenHBand="0" w:firstRowFirstColumn="0" w:firstRowLastColumn="0" w:lastRowFirstColumn="0" w:lastRowLastColumn="0"/>
            </w:pPr>
            <w:r>
              <w:t>Common foreign and security policy of the EU</w:t>
            </w:r>
          </w:p>
        </w:tc>
      </w:tr>
      <w:tr w:rsidR="008F5C83" w14:paraId="604DB804"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74DD940B" w14:textId="77777777" w:rsidR="008F5C83" w:rsidRDefault="00C74657">
            <w:r>
              <w:t>Članica nosilka/UL Member:</w:t>
            </w:r>
          </w:p>
        </w:tc>
        <w:tc>
          <w:tcPr>
            <w:tcW w:w="0" w:type="pct"/>
          </w:tcPr>
          <w:p w14:paraId="73856A58" w14:textId="77777777" w:rsidR="008F5C83" w:rsidRDefault="00C74657">
            <w:pPr>
              <w:cnfStyle w:val="000000000000" w:firstRow="0" w:lastRow="0" w:firstColumn="0" w:lastColumn="0" w:oddVBand="0" w:evenVBand="0" w:oddHBand="0" w:evenHBand="0" w:firstRowFirstColumn="0" w:firstRowLastColumn="0" w:lastRowFirstColumn="0" w:lastRowLastColumn="0"/>
            </w:pPr>
            <w:r>
              <w:t>UL PF</w:t>
            </w:r>
          </w:p>
        </w:tc>
      </w:tr>
    </w:tbl>
    <w:p w14:paraId="209949A5" w14:textId="77777777" w:rsidR="008F5C83" w:rsidRDefault="008F5C83"/>
    <w:tbl>
      <w:tblPr>
        <w:tblStyle w:val="DefaultTable"/>
        <w:tblW w:w="5000" w:type="pct"/>
        <w:tblLook w:val="04A0" w:firstRow="1" w:lastRow="0" w:firstColumn="1" w:lastColumn="0" w:noHBand="0" w:noVBand="1"/>
      </w:tblPr>
      <w:tblGrid>
        <w:gridCol w:w="1979"/>
        <w:gridCol w:w="1977"/>
        <w:gridCol w:w="1797"/>
        <w:gridCol w:w="1921"/>
        <w:gridCol w:w="1964"/>
      </w:tblGrid>
      <w:tr w:rsidR="008F5C83" w14:paraId="3626CF2C"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33AB10C4" w14:textId="77777777" w:rsidR="008F5C83" w:rsidRDefault="00C74657">
            <w:r>
              <w:t>Študijski programi in stopnja</w:t>
            </w:r>
          </w:p>
        </w:tc>
        <w:tc>
          <w:tcPr>
            <w:tcW w:w="0" w:type="pct"/>
          </w:tcPr>
          <w:p w14:paraId="44AEF02A" w14:textId="77777777" w:rsidR="008F5C83" w:rsidRDefault="00C74657">
            <w:r>
              <w:t>Študijska smer</w:t>
            </w:r>
          </w:p>
        </w:tc>
        <w:tc>
          <w:tcPr>
            <w:tcW w:w="0" w:type="pct"/>
          </w:tcPr>
          <w:p w14:paraId="0640679C" w14:textId="77777777" w:rsidR="008F5C83" w:rsidRDefault="00C74657">
            <w:r>
              <w:t>Letnik</w:t>
            </w:r>
          </w:p>
        </w:tc>
        <w:tc>
          <w:tcPr>
            <w:tcW w:w="0" w:type="pct"/>
          </w:tcPr>
          <w:p w14:paraId="6FD371CF" w14:textId="77777777" w:rsidR="008F5C83" w:rsidRDefault="00C74657">
            <w:r>
              <w:t>Semestri</w:t>
            </w:r>
          </w:p>
        </w:tc>
        <w:tc>
          <w:tcPr>
            <w:tcW w:w="0" w:type="pct"/>
          </w:tcPr>
          <w:p w14:paraId="1DC1FD80" w14:textId="77777777" w:rsidR="008F5C83" w:rsidRDefault="00C74657">
            <w:r>
              <w:t>Izbirnost</w:t>
            </w:r>
          </w:p>
        </w:tc>
      </w:tr>
      <w:tr w:rsidR="008F5C83" w14:paraId="12F6E32F" w14:textId="77777777" w:rsidTr="001323A2">
        <w:tc>
          <w:tcPr>
            <w:tcW w:w="0" w:type="pct"/>
          </w:tcPr>
          <w:p w14:paraId="09E6A341" w14:textId="77777777" w:rsidR="008F5C83" w:rsidRDefault="00C74657">
            <w:r>
              <w:t>Pravo, tretja stopnja, doktorski</w:t>
            </w:r>
          </w:p>
        </w:tc>
        <w:tc>
          <w:tcPr>
            <w:tcW w:w="0" w:type="pct"/>
          </w:tcPr>
          <w:p w14:paraId="7011A70A" w14:textId="77777777" w:rsidR="008F5C83" w:rsidRDefault="00C74657">
            <w:r>
              <w:t xml:space="preserve">Ni členitve (študijski program)                </w:t>
            </w:r>
          </w:p>
        </w:tc>
        <w:tc>
          <w:tcPr>
            <w:tcW w:w="0" w:type="pct"/>
          </w:tcPr>
          <w:p w14:paraId="70420DD6" w14:textId="77777777" w:rsidR="008F5C83" w:rsidRDefault="00C74657">
            <w:r>
              <w:t>1. letnik</w:t>
            </w:r>
          </w:p>
        </w:tc>
        <w:tc>
          <w:tcPr>
            <w:tcW w:w="0" w:type="pct"/>
          </w:tcPr>
          <w:p w14:paraId="3119B777" w14:textId="77777777" w:rsidR="008F5C83" w:rsidRDefault="00C74657">
            <w:r>
              <w:t>Celoletni</w:t>
            </w:r>
          </w:p>
        </w:tc>
        <w:tc>
          <w:tcPr>
            <w:tcW w:w="0" w:type="pct"/>
          </w:tcPr>
          <w:p w14:paraId="42A01949" w14:textId="77777777" w:rsidR="008F5C83" w:rsidRDefault="00C74657">
            <w:r>
              <w:t>izbirni</w:t>
            </w:r>
          </w:p>
        </w:tc>
      </w:tr>
    </w:tbl>
    <w:p w14:paraId="24763780" w14:textId="77777777" w:rsidR="008F5C83" w:rsidRDefault="008F5C83"/>
    <w:tbl>
      <w:tblPr>
        <w:tblStyle w:val="VerticalTable"/>
        <w:tblW w:w="5000" w:type="pct"/>
        <w:tblLook w:val="04A0" w:firstRow="1" w:lastRow="0" w:firstColumn="1" w:lastColumn="0" w:noHBand="0" w:noVBand="1"/>
      </w:tblPr>
      <w:tblGrid>
        <w:gridCol w:w="5437"/>
        <w:gridCol w:w="4196"/>
      </w:tblGrid>
      <w:tr w:rsidR="008F5C83" w14:paraId="7B49949F"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663BF088" w14:textId="77777777" w:rsidR="008F5C83" w:rsidRDefault="00C74657">
            <w:r>
              <w:t>Univerzitetna koda predmeta/University course code:</w:t>
            </w:r>
          </w:p>
        </w:tc>
        <w:tc>
          <w:tcPr>
            <w:tcW w:w="0" w:type="pct"/>
          </w:tcPr>
          <w:p w14:paraId="248772BD" w14:textId="77777777" w:rsidR="008F5C83" w:rsidRDefault="00C74657">
            <w:pPr>
              <w:cnfStyle w:val="000000000000" w:firstRow="0" w:lastRow="0" w:firstColumn="0" w:lastColumn="0" w:oddVBand="0" w:evenVBand="0" w:oddHBand="0" w:evenHBand="0" w:firstRowFirstColumn="0" w:firstRowLastColumn="0" w:lastRowFirstColumn="0" w:lastRowLastColumn="0"/>
            </w:pPr>
            <w:r>
              <w:t>0046488</w:t>
            </w:r>
          </w:p>
        </w:tc>
      </w:tr>
      <w:tr w:rsidR="008F5C83" w14:paraId="754036E6"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50D7A167" w14:textId="77777777" w:rsidR="008F5C83" w:rsidRDefault="00C74657">
            <w:r>
              <w:t>Koda učne enote na članici/UL Member course code:</w:t>
            </w:r>
          </w:p>
        </w:tc>
        <w:tc>
          <w:tcPr>
            <w:tcW w:w="0" w:type="pct"/>
          </w:tcPr>
          <w:p w14:paraId="7B57E02E" w14:textId="77777777" w:rsidR="008F5C83" w:rsidRDefault="00C74657">
            <w:pPr>
              <w:cnfStyle w:val="000000000000" w:firstRow="0" w:lastRow="0" w:firstColumn="0" w:lastColumn="0" w:oddVBand="0" w:evenVBand="0" w:oddHBand="0" w:evenHBand="0" w:firstRowFirstColumn="0" w:firstRowLastColumn="0" w:lastRowFirstColumn="0" w:lastRowLastColumn="0"/>
            </w:pPr>
            <w:r>
              <w:t>583</w:t>
            </w:r>
          </w:p>
        </w:tc>
      </w:tr>
    </w:tbl>
    <w:p w14:paraId="3B870EDD" w14:textId="77777777" w:rsidR="008F5C83" w:rsidRDefault="008F5C83"/>
    <w:tbl>
      <w:tblPr>
        <w:tblStyle w:val="DefaultTable"/>
        <w:tblW w:w="5000" w:type="pct"/>
        <w:tblLook w:val="04A0" w:firstRow="1" w:lastRow="0" w:firstColumn="1" w:lastColumn="0" w:noHBand="0" w:noVBand="1"/>
      </w:tblPr>
      <w:tblGrid>
        <w:gridCol w:w="1545"/>
        <w:gridCol w:w="1400"/>
        <w:gridCol w:w="1483"/>
        <w:gridCol w:w="1352"/>
        <w:gridCol w:w="1178"/>
        <w:gridCol w:w="1599"/>
        <w:gridCol w:w="1081"/>
      </w:tblGrid>
      <w:tr w:rsidR="008F5C83" w14:paraId="5EC0A4D8"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4752111F" w14:textId="77777777" w:rsidR="008F5C83" w:rsidRDefault="00C74657">
            <w:pPr>
              <w:keepNext/>
              <w:jc w:val="center"/>
            </w:pPr>
            <w:r>
              <w:t>Predavanja</w:t>
            </w:r>
            <w:r>
              <w:br/>
              <w:t>/Lectures</w:t>
            </w:r>
          </w:p>
        </w:tc>
        <w:tc>
          <w:tcPr>
            <w:tcW w:w="0" w:type="pct"/>
          </w:tcPr>
          <w:p w14:paraId="3267AE20" w14:textId="77777777" w:rsidR="008F5C83" w:rsidRDefault="00C74657">
            <w:pPr>
              <w:keepNext/>
              <w:jc w:val="center"/>
            </w:pPr>
            <w:r>
              <w:t>Seminar</w:t>
            </w:r>
            <w:r>
              <w:br/>
              <w:t>/Seminar</w:t>
            </w:r>
          </w:p>
        </w:tc>
        <w:tc>
          <w:tcPr>
            <w:tcW w:w="0" w:type="pct"/>
          </w:tcPr>
          <w:p w14:paraId="4E8FCFA0" w14:textId="77777777" w:rsidR="008F5C83" w:rsidRDefault="00C74657">
            <w:pPr>
              <w:keepNext/>
              <w:jc w:val="center"/>
            </w:pPr>
            <w:r>
              <w:t>Vaje</w:t>
            </w:r>
            <w:r>
              <w:br/>
              <w:t>/Tutorials</w:t>
            </w:r>
          </w:p>
        </w:tc>
        <w:tc>
          <w:tcPr>
            <w:tcW w:w="0" w:type="pct"/>
          </w:tcPr>
          <w:p w14:paraId="7E1D0A55" w14:textId="77777777" w:rsidR="008F5C83" w:rsidRDefault="00C74657">
            <w:pPr>
              <w:keepNext/>
              <w:jc w:val="center"/>
            </w:pPr>
            <w:r>
              <w:t>Klinične vaje</w:t>
            </w:r>
            <w:r>
              <w:br/>
              <w:t>/Clinical tutorials</w:t>
            </w:r>
          </w:p>
        </w:tc>
        <w:tc>
          <w:tcPr>
            <w:tcW w:w="0" w:type="pct"/>
          </w:tcPr>
          <w:p w14:paraId="3B225D95" w14:textId="77777777" w:rsidR="008F5C83" w:rsidRDefault="00C74657">
            <w:pPr>
              <w:keepNext/>
              <w:jc w:val="center"/>
            </w:pPr>
            <w:r>
              <w:t>Druge oblike študija</w:t>
            </w:r>
            <w:r>
              <w:br/>
              <w:t>/Other forms of study</w:t>
            </w:r>
          </w:p>
        </w:tc>
        <w:tc>
          <w:tcPr>
            <w:tcW w:w="0" w:type="pct"/>
          </w:tcPr>
          <w:p w14:paraId="306CFCF7" w14:textId="77777777" w:rsidR="008F5C83" w:rsidRDefault="00C74657">
            <w:pPr>
              <w:keepNext/>
              <w:jc w:val="center"/>
            </w:pPr>
            <w:r>
              <w:t>Samostojno delo</w:t>
            </w:r>
            <w:r>
              <w:br/>
              <w:t>/Individual student work</w:t>
            </w:r>
          </w:p>
        </w:tc>
        <w:tc>
          <w:tcPr>
            <w:tcW w:w="0" w:type="pct"/>
          </w:tcPr>
          <w:p w14:paraId="60314F6B" w14:textId="77777777" w:rsidR="008F5C83" w:rsidRDefault="00C74657">
            <w:pPr>
              <w:keepNext/>
              <w:jc w:val="center"/>
            </w:pPr>
            <w:r>
              <w:t>ECTS</w:t>
            </w:r>
          </w:p>
        </w:tc>
      </w:tr>
      <w:tr w:rsidR="008F5C83" w14:paraId="530DCF0C" w14:textId="77777777" w:rsidTr="001323A2">
        <w:tc>
          <w:tcPr>
            <w:tcW w:w="0" w:type="auto"/>
          </w:tcPr>
          <w:p w14:paraId="1F80DEAB" w14:textId="77777777" w:rsidR="008F5C83" w:rsidRDefault="00C74657">
            <w:pPr>
              <w:keepNext/>
              <w:jc w:val="center"/>
            </w:pPr>
            <w:r>
              <w:t>16</w:t>
            </w:r>
          </w:p>
        </w:tc>
        <w:tc>
          <w:tcPr>
            <w:tcW w:w="0" w:type="auto"/>
          </w:tcPr>
          <w:p w14:paraId="2DEB04B0" w14:textId="77777777" w:rsidR="008F5C83" w:rsidRDefault="00C74657">
            <w:pPr>
              <w:keepNext/>
              <w:jc w:val="center"/>
            </w:pPr>
            <w:r>
              <w:t>0</w:t>
            </w:r>
          </w:p>
        </w:tc>
        <w:tc>
          <w:tcPr>
            <w:tcW w:w="0" w:type="auto"/>
          </w:tcPr>
          <w:p w14:paraId="2C1FA11D" w14:textId="77777777" w:rsidR="008F5C83" w:rsidRDefault="00C74657">
            <w:pPr>
              <w:keepNext/>
              <w:jc w:val="center"/>
            </w:pPr>
            <w:r>
              <w:t>8</w:t>
            </w:r>
          </w:p>
        </w:tc>
        <w:tc>
          <w:tcPr>
            <w:tcW w:w="0" w:type="auto"/>
          </w:tcPr>
          <w:p w14:paraId="5474B2D2" w14:textId="77777777" w:rsidR="008F5C83" w:rsidRDefault="00C74657">
            <w:pPr>
              <w:keepNext/>
              <w:jc w:val="center"/>
            </w:pPr>
            <w:r>
              <w:t>0</w:t>
            </w:r>
          </w:p>
        </w:tc>
        <w:tc>
          <w:tcPr>
            <w:tcW w:w="0" w:type="auto"/>
          </w:tcPr>
          <w:p w14:paraId="1BFD019A" w14:textId="77777777" w:rsidR="008F5C83" w:rsidRDefault="00C74657">
            <w:pPr>
              <w:keepNext/>
              <w:jc w:val="center"/>
            </w:pPr>
            <w:r>
              <w:t>38</w:t>
            </w:r>
          </w:p>
        </w:tc>
        <w:tc>
          <w:tcPr>
            <w:tcW w:w="0" w:type="auto"/>
          </w:tcPr>
          <w:p w14:paraId="54332638" w14:textId="77777777" w:rsidR="008F5C83" w:rsidRDefault="00C74657">
            <w:pPr>
              <w:keepNext/>
              <w:jc w:val="center"/>
            </w:pPr>
            <w:r>
              <w:t>63</w:t>
            </w:r>
          </w:p>
        </w:tc>
        <w:tc>
          <w:tcPr>
            <w:tcW w:w="0" w:type="auto"/>
          </w:tcPr>
          <w:p w14:paraId="494E11CD" w14:textId="77777777" w:rsidR="008F5C83" w:rsidRDefault="00C74657">
            <w:pPr>
              <w:keepNext/>
              <w:jc w:val="center"/>
            </w:pPr>
            <w:r>
              <w:t>5</w:t>
            </w:r>
          </w:p>
        </w:tc>
      </w:tr>
    </w:tbl>
    <w:p w14:paraId="53CCD693" w14:textId="77777777" w:rsidR="008F5C83" w:rsidRDefault="008F5C83"/>
    <w:tbl>
      <w:tblPr>
        <w:tblStyle w:val="VerticalTable"/>
        <w:tblW w:w="5000" w:type="pct"/>
        <w:tblLook w:val="04A0" w:firstRow="1" w:lastRow="0" w:firstColumn="1" w:lastColumn="0" w:noHBand="0" w:noVBand="1"/>
      </w:tblPr>
      <w:tblGrid>
        <w:gridCol w:w="3083"/>
        <w:gridCol w:w="6550"/>
      </w:tblGrid>
      <w:tr w:rsidR="008F5C83" w14:paraId="78775A7F"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7450AFB9" w14:textId="77777777" w:rsidR="008F5C83" w:rsidRDefault="00C74657">
            <w:r>
              <w:t>Nosilec predmeta/Lecturer:</w:t>
            </w:r>
          </w:p>
        </w:tc>
        <w:tc>
          <w:tcPr>
            <w:tcW w:w="3400" w:type="pct"/>
          </w:tcPr>
          <w:p w14:paraId="567242BE" w14:textId="6E5F0ECE" w:rsidR="008F5C83" w:rsidRDefault="00562918">
            <w:pPr>
              <w:cnfStyle w:val="000000000000" w:firstRow="0" w:lastRow="0" w:firstColumn="0" w:lastColumn="0" w:oddVBand="0" w:evenVBand="0" w:oddHBand="0" w:evenHBand="0" w:firstRowFirstColumn="0" w:firstRowLastColumn="0" w:lastRowFirstColumn="0" w:lastRowLastColumn="0"/>
            </w:pPr>
            <w:r>
              <w:t>doc. dr. Maruša Tekavčič Veber</w:t>
            </w:r>
          </w:p>
        </w:tc>
      </w:tr>
    </w:tbl>
    <w:p w14:paraId="15D7B46C" w14:textId="77777777" w:rsidR="008F5C83" w:rsidRDefault="008F5C83"/>
    <w:tbl>
      <w:tblPr>
        <w:tblStyle w:val="VerticalTable"/>
        <w:tblW w:w="5000" w:type="pct"/>
        <w:tblLook w:val="04A0" w:firstRow="1" w:lastRow="0" w:firstColumn="1" w:lastColumn="0" w:noHBand="0" w:noVBand="1"/>
      </w:tblPr>
      <w:tblGrid>
        <w:gridCol w:w="3083"/>
        <w:gridCol w:w="6550"/>
      </w:tblGrid>
      <w:tr w:rsidR="008F5C83" w14:paraId="72201747"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0F31577F" w14:textId="77777777" w:rsidR="008F5C83" w:rsidRDefault="00C74657">
            <w:r>
              <w:t>Izvajalci predavanj:</w:t>
            </w:r>
          </w:p>
        </w:tc>
        <w:tc>
          <w:tcPr>
            <w:tcW w:w="3400" w:type="pct"/>
          </w:tcPr>
          <w:p w14:paraId="72F668D1" w14:textId="77777777" w:rsidR="008F5C83" w:rsidRDefault="00562918">
            <w:pPr>
              <w:cnfStyle w:val="000000000000" w:firstRow="0" w:lastRow="0" w:firstColumn="0" w:lastColumn="0" w:oddVBand="0" w:evenVBand="0" w:oddHBand="0" w:evenHBand="0" w:firstRowFirstColumn="0" w:firstRowLastColumn="0" w:lastRowFirstColumn="0" w:lastRowLastColumn="0"/>
            </w:pPr>
            <w:r>
              <w:t>doc. dr. Maruša Tekavčič Veber</w:t>
            </w:r>
          </w:p>
        </w:tc>
      </w:tr>
      <w:tr w:rsidR="008F5C83" w14:paraId="2B5FE84D"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5429FAA6" w14:textId="77777777" w:rsidR="008F5C83" w:rsidRDefault="00C74657">
            <w:r>
              <w:t>Izvajalci seminarjev:</w:t>
            </w:r>
          </w:p>
        </w:tc>
        <w:tc>
          <w:tcPr>
            <w:tcW w:w="3400" w:type="pct"/>
          </w:tcPr>
          <w:p w14:paraId="698195E2" w14:textId="77777777" w:rsidR="008F5C83" w:rsidRDefault="008F5C83">
            <w:pPr>
              <w:cnfStyle w:val="000000000000" w:firstRow="0" w:lastRow="0" w:firstColumn="0" w:lastColumn="0" w:oddVBand="0" w:evenVBand="0" w:oddHBand="0" w:evenHBand="0" w:firstRowFirstColumn="0" w:firstRowLastColumn="0" w:lastRowFirstColumn="0" w:lastRowLastColumn="0"/>
            </w:pPr>
          </w:p>
        </w:tc>
      </w:tr>
      <w:tr w:rsidR="008F5C83" w14:paraId="4F47F9E0"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195FACB7" w14:textId="77777777" w:rsidR="008F5C83" w:rsidRDefault="00C74657">
            <w:r>
              <w:t>Izvajalci vaj:</w:t>
            </w:r>
          </w:p>
        </w:tc>
        <w:tc>
          <w:tcPr>
            <w:tcW w:w="3400" w:type="pct"/>
          </w:tcPr>
          <w:p w14:paraId="06719AB0" w14:textId="77777777" w:rsidR="008F5C83" w:rsidRDefault="00562918">
            <w:pPr>
              <w:cnfStyle w:val="000000000000" w:firstRow="0" w:lastRow="0" w:firstColumn="0" w:lastColumn="0" w:oddVBand="0" w:evenVBand="0" w:oddHBand="0" w:evenHBand="0" w:firstRowFirstColumn="0" w:firstRowLastColumn="0" w:lastRowFirstColumn="0" w:lastRowLastColumn="0"/>
            </w:pPr>
            <w:r>
              <w:t>doc. dr. Maruša Tekavčič Veber</w:t>
            </w:r>
          </w:p>
        </w:tc>
      </w:tr>
      <w:tr w:rsidR="008F5C83" w14:paraId="1945E772"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1749D919" w14:textId="77777777" w:rsidR="008F5C83" w:rsidRDefault="00C74657">
            <w:r>
              <w:t>Izvajalci kliničnih vaj:</w:t>
            </w:r>
          </w:p>
        </w:tc>
        <w:tc>
          <w:tcPr>
            <w:tcW w:w="3400" w:type="pct"/>
          </w:tcPr>
          <w:p w14:paraId="071A5BF1" w14:textId="77777777" w:rsidR="008F5C83" w:rsidRDefault="008F5C83">
            <w:pPr>
              <w:cnfStyle w:val="000000000000" w:firstRow="0" w:lastRow="0" w:firstColumn="0" w:lastColumn="0" w:oddVBand="0" w:evenVBand="0" w:oddHBand="0" w:evenHBand="0" w:firstRowFirstColumn="0" w:firstRowLastColumn="0" w:lastRowFirstColumn="0" w:lastRowLastColumn="0"/>
            </w:pPr>
          </w:p>
        </w:tc>
      </w:tr>
      <w:tr w:rsidR="008F5C83" w14:paraId="2BD817D0"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29CCD16A" w14:textId="77777777" w:rsidR="008F5C83" w:rsidRDefault="00C74657">
            <w:r>
              <w:t>Izvajalci drugih oblik:</w:t>
            </w:r>
          </w:p>
        </w:tc>
        <w:tc>
          <w:tcPr>
            <w:tcW w:w="3400" w:type="pct"/>
          </w:tcPr>
          <w:p w14:paraId="318A908C" w14:textId="77777777" w:rsidR="008F5C83" w:rsidRDefault="00562918">
            <w:pPr>
              <w:cnfStyle w:val="000000000000" w:firstRow="0" w:lastRow="0" w:firstColumn="0" w:lastColumn="0" w:oddVBand="0" w:evenVBand="0" w:oddHBand="0" w:evenHBand="0" w:firstRowFirstColumn="0" w:firstRowLastColumn="0" w:lastRowFirstColumn="0" w:lastRowLastColumn="0"/>
            </w:pPr>
            <w:r>
              <w:t>doc. dr. Maruša Tekavčič Veber</w:t>
            </w:r>
          </w:p>
        </w:tc>
      </w:tr>
      <w:tr w:rsidR="008F5C83" w14:paraId="7A54E838" w14:textId="77777777" w:rsidTr="008F5C83">
        <w:tc>
          <w:tcPr>
            <w:cnfStyle w:val="001000000000" w:firstRow="0" w:lastRow="0" w:firstColumn="1" w:lastColumn="0" w:oddVBand="0" w:evenVBand="0" w:oddHBand="0" w:evenHBand="0" w:firstRowFirstColumn="0" w:firstRowLastColumn="0" w:lastRowFirstColumn="0" w:lastRowLastColumn="0"/>
            <w:tcW w:w="1600" w:type="pct"/>
          </w:tcPr>
          <w:p w14:paraId="1C164EF2" w14:textId="77777777" w:rsidR="008F5C83" w:rsidRDefault="00C74657">
            <w:r>
              <w:t>Izvajalci praktičnega usposabljanja:</w:t>
            </w:r>
          </w:p>
        </w:tc>
        <w:tc>
          <w:tcPr>
            <w:tcW w:w="3400" w:type="pct"/>
          </w:tcPr>
          <w:p w14:paraId="1EDF5F3A" w14:textId="77777777" w:rsidR="008F5C83" w:rsidRDefault="008F5C83">
            <w:pPr>
              <w:cnfStyle w:val="000000000000" w:firstRow="0" w:lastRow="0" w:firstColumn="0" w:lastColumn="0" w:oddVBand="0" w:evenVBand="0" w:oddHBand="0" w:evenHBand="0" w:firstRowFirstColumn="0" w:firstRowLastColumn="0" w:lastRowFirstColumn="0" w:lastRowLastColumn="0"/>
            </w:pPr>
          </w:p>
        </w:tc>
      </w:tr>
    </w:tbl>
    <w:p w14:paraId="265D965F" w14:textId="77777777" w:rsidR="008F5C83" w:rsidRDefault="008F5C83"/>
    <w:tbl>
      <w:tblPr>
        <w:tblStyle w:val="VerticalTable"/>
        <w:tblW w:w="5000" w:type="pct"/>
        <w:tblLook w:val="04A0" w:firstRow="1" w:lastRow="0" w:firstColumn="1" w:lastColumn="0" w:noHBand="0" w:noVBand="1"/>
      </w:tblPr>
      <w:tblGrid>
        <w:gridCol w:w="4940"/>
        <w:gridCol w:w="4693"/>
      </w:tblGrid>
      <w:tr w:rsidR="008F5C83" w14:paraId="2A3CA835"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6F5E6EE2" w14:textId="77777777" w:rsidR="008F5C83" w:rsidRDefault="00C74657">
            <w:r>
              <w:t>Vrsta predmeta/Course type:</w:t>
            </w:r>
          </w:p>
        </w:tc>
        <w:tc>
          <w:tcPr>
            <w:tcW w:w="0" w:type="pct"/>
          </w:tcPr>
          <w:p w14:paraId="14D0D308" w14:textId="77777777" w:rsidR="008F5C83" w:rsidRDefault="00C74657">
            <w:pPr>
              <w:cnfStyle w:val="000000000000" w:firstRow="0" w:lastRow="0" w:firstColumn="0" w:lastColumn="0" w:oddVBand="0" w:evenVBand="0" w:oddHBand="0" w:evenHBand="0" w:firstRowFirstColumn="0" w:firstRowLastColumn="0" w:lastRowFirstColumn="0" w:lastRowLastColumn="0"/>
            </w:pPr>
            <w:r>
              <w:t>izbirni/Optional subject</w:t>
            </w:r>
          </w:p>
        </w:tc>
      </w:tr>
    </w:tbl>
    <w:p w14:paraId="740DCBF9" w14:textId="77777777" w:rsidR="008F5C83" w:rsidRDefault="008F5C83"/>
    <w:tbl>
      <w:tblPr>
        <w:tblStyle w:val="VerticalTable"/>
        <w:tblW w:w="5000" w:type="pct"/>
        <w:tblLook w:val="04A0" w:firstRow="1" w:lastRow="0" w:firstColumn="1" w:lastColumn="0" w:noHBand="0" w:noVBand="1"/>
      </w:tblPr>
      <w:tblGrid>
        <w:gridCol w:w="3429"/>
        <w:gridCol w:w="3512"/>
        <w:gridCol w:w="2692"/>
      </w:tblGrid>
      <w:tr w:rsidR="008F5C83" w14:paraId="1722CB21"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5056FDAD" w14:textId="77777777" w:rsidR="008F5C83" w:rsidRDefault="00C74657">
            <w:r>
              <w:t>Jeziki/Languages:</w:t>
            </w:r>
          </w:p>
        </w:tc>
        <w:tc>
          <w:tcPr>
            <w:tcW w:w="0" w:type="pct"/>
          </w:tcPr>
          <w:p w14:paraId="344EB72E" w14:textId="77777777" w:rsidR="008F5C83" w:rsidRDefault="00C74657">
            <w:pPr>
              <w:cnfStyle w:val="000000000000" w:firstRow="0" w:lastRow="0" w:firstColumn="0" w:lastColumn="0" w:oddVBand="0" w:evenVBand="0" w:oddHBand="0" w:evenHBand="0" w:firstRowFirstColumn="0" w:firstRowLastColumn="0" w:lastRowFirstColumn="0" w:lastRowLastColumn="0"/>
            </w:pPr>
            <w:r>
              <w:t>Predavanja/Lectures:</w:t>
            </w:r>
          </w:p>
        </w:tc>
        <w:tc>
          <w:tcPr>
            <w:tcW w:w="0" w:type="pct"/>
          </w:tcPr>
          <w:p w14:paraId="4AD637AD" w14:textId="77777777" w:rsidR="008F5C83" w:rsidRDefault="00C74657">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8F5C83" w14:paraId="50CC3FE1" w14:textId="77777777" w:rsidTr="001323A2">
        <w:tc>
          <w:tcPr>
            <w:cnfStyle w:val="001000000000" w:firstRow="0" w:lastRow="0" w:firstColumn="1" w:lastColumn="0" w:oddVBand="0" w:evenVBand="0" w:oddHBand="0" w:evenHBand="0" w:firstRowFirstColumn="0" w:firstRowLastColumn="0" w:lastRowFirstColumn="0" w:lastRowLastColumn="0"/>
            <w:tcW w:w="0" w:type="pct"/>
          </w:tcPr>
          <w:p w14:paraId="2CD77E51" w14:textId="77777777" w:rsidR="008F5C83" w:rsidRDefault="008F5C83"/>
        </w:tc>
        <w:tc>
          <w:tcPr>
            <w:tcW w:w="0" w:type="pct"/>
          </w:tcPr>
          <w:p w14:paraId="6215AE48" w14:textId="77777777" w:rsidR="008F5C83" w:rsidRDefault="00C74657">
            <w:pPr>
              <w:cnfStyle w:val="000000000000" w:firstRow="0" w:lastRow="0" w:firstColumn="0" w:lastColumn="0" w:oddVBand="0" w:evenVBand="0" w:oddHBand="0" w:evenHBand="0" w:firstRowFirstColumn="0" w:firstRowLastColumn="0" w:lastRowFirstColumn="0" w:lastRowLastColumn="0"/>
            </w:pPr>
            <w:r>
              <w:t>Vaje/Tutorial:</w:t>
            </w:r>
          </w:p>
        </w:tc>
        <w:tc>
          <w:tcPr>
            <w:tcW w:w="0" w:type="pct"/>
          </w:tcPr>
          <w:p w14:paraId="74CBFD95" w14:textId="77777777" w:rsidR="008F5C83" w:rsidRDefault="00C74657">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46BB733A" w14:textId="77777777" w:rsidR="008F5C83" w:rsidRDefault="008F5C83"/>
    <w:tbl>
      <w:tblPr>
        <w:tblStyle w:val="DefaultTable"/>
        <w:tblW w:w="5000" w:type="pct"/>
        <w:tblLook w:val="04A0" w:firstRow="1" w:lastRow="0" w:firstColumn="1" w:lastColumn="0" w:noHBand="0" w:noVBand="1"/>
      </w:tblPr>
      <w:tblGrid>
        <w:gridCol w:w="4831"/>
        <w:gridCol w:w="4807"/>
      </w:tblGrid>
      <w:tr w:rsidR="008F5C83" w14:paraId="75887ED7"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204065C5" w14:textId="77777777" w:rsidR="008F5C83" w:rsidRDefault="00C74657">
            <w:r>
              <w:t>Pogoji za vključitev v delo oz. za opravljanje študijskih obveznosti:</w:t>
            </w:r>
          </w:p>
        </w:tc>
        <w:tc>
          <w:tcPr>
            <w:tcW w:w="0" w:type="pct"/>
          </w:tcPr>
          <w:p w14:paraId="618CE70B" w14:textId="77777777" w:rsidR="008F5C83" w:rsidRDefault="00C74657">
            <w:r>
              <w:t>Prerequisites:</w:t>
            </w:r>
          </w:p>
        </w:tc>
      </w:tr>
      <w:tr w:rsidR="008F5C83" w14:paraId="3C4B07CA" w14:textId="77777777" w:rsidTr="001323A2">
        <w:tc>
          <w:tcPr>
            <w:tcW w:w="0" w:type="auto"/>
          </w:tcPr>
          <w:p w14:paraId="1076E2E3" w14:textId="77777777" w:rsidR="008F5C83" w:rsidRDefault="00C74657">
            <w:r>
              <w:t>Poznavanje mednarodnega prava na ravni univerzitetnega dodiplomskega in magistrskega študija.</w:t>
            </w:r>
          </w:p>
        </w:tc>
        <w:tc>
          <w:tcPr>
            <w:tcW w:w="0" w:type="auto"/>
          </w:tcPr>
          <w:p w14:paraId="3BEADDC8" w14:textId="77777777" w:rsidR="008F5C83" w:rsidRDefault="00C74657">
            <w:r>
              <w:t>Knowledge of international law at the university undergraduate and postgraduate master level.</w:t>
            </w:r>
          </w:p>
        </w:tc>
      </w:tr>
    </w:tbl>
    <w:p w14:paraId="2576AAD3" w14:textId="77777777" w:rsidR="008F5C83" w:rsidRDefault="008F5C83"/>
    <w:tbl>
      <w:tblPr>
        <w:tblStyle w:val="DefaultTable"/>
        <w:tblW w:w="5000" w:type="pct"/>
        <w:tblLook w:val="04A0" w:firstRow="1" w:lastRow="0" w:firstColumn="1" w:lastColumn="0" w:noHBand="0" w:noVBand="1"/>
      </w:tblPr>
      <w:tblGrid>
        <w:gridCol w:w="5018"/>
        <w:gridCol w:w="4620"/>
      </w:tblGrid>
      <w:tr w:rsidR="008F5C83" w14:paraId="59D89856"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54841D58" w14:textId="77777777" w:rsidR="008F5C83" w:rsidRDefault="00C74657">
            <w:r>
              <w:t>Vsebina:</w:t>
            </w:r>
          </w:p>
        </w:tc>
        <w:tc>
          <w:tcPr>
            <w:tcW w:w="0" w:type="pct"/>
          </w:tcPr>
          <w:p w14:paraId="6B6697C0" w14:textId="77777777" w:rsidR="008F5C83" w:rsidRDefault="00C74657">
            <w:r>
              <w:t>Content (Syllabus outline):</w:t>
            </w:r>
          </w:p>
        </w:tc>
      </w:tr>
      <w:tr w:rsidR="008F5C83" w14:paraId="4F04187D" w14:textId="77777777">
        <w:tc>
          <w:tcPr>
            <w:tcW w:w="0" w:type="auto"/>
          </w:tcPr>
          <w:p w14:paraId="6558F12F" w14:textId="77777777" w:rsidR="008F5C83" w:rsidRDefault="00C74657">
            <w:r>
              <w:t>Temeljni pravni področji vsebine predmeta sta mednarodno pravo in pravo EU.</w:t>
            </w:r>
          </w:p>
          <w:p w14:paraId="20297F07" w14:textId="4FC7D618" w:rsidR="008F5C83" w:rsidRDefault="00C74657">
            <w:r>
              <w:t xml:space="preserve">Študijski program se prilagaja aktualnim problemom z navedenih področjih in predvsem razvoju pravnih pravil </w:t>
            </w:r>
            <w:r>
              <w:lastRenderedPageBreak/>
              <w:t>in relevantne prakse. Celovito bodo obravnavana pravna vprašanja, ki izhajajo iz določanja in vodenja skupnih zunanjih odnosov in obrambne politike znotraj EU kot tudi razvoj institucionalnih struktur v te namene. Pri tem bodo posamezna vprašanja obravnavana v okviru študije konkretnega primera.</w:t>
            </w:r>
          </w:p>
          <w:p w14:paraId="72FAF90B" w14:textId="77777777" w:rsidR="008F5C83" w:rsidRDefault="00C74657">
            <w:r>
              <w:t>1. Zgodovinski razvoj evropskih integracij na področju zunanje, varnostne in obrambne politike</w:t>
            </w:r>
          </w:p>
          <w:p w14:paraId="21312278" w14:textId="77777777" w:rsidR="00562918" w:rsidRDefault="00562918">
            <w:r>
              <w:t>2. EU kot globalni akter</w:t>
            </w:r>
          </w:p>
          <w:p w14:paraId="750418A7" w14:textId="77777777" w:rsidR="008F5C83" w:rsidRDefault="00562918">
            <w:r>
              <w:t>3</w:t>
            </w:r>
            <w:r w:rsidR="00C74657">
              <w:t>. Materialnopravni del:</w:t>
            </w:r>
          </w:p>
          <w:p w14:paraId="3932AE50" w14:textId="77777777" w:rsidR="008F5C83" w:rsidRDefault="00C74657">
            <w:r>
              <w:t>- zunanji odnosi EU</w:t>
            </w:r>
          </w:p>
          <w:p w14:paraId="6855FF43" w14:textId="77777777" w:rsidR="008F5C83" w:rsidRDefault="00C74657">
            <w:r>
              <w:t>- varnostna/obrambna politika EU</w:t>
            </w:r>
          </w:p>
          <w:p w14:paraId="462EA321" w14:textId="406D27DE" w:rsidR="00562918" w:rsidRDefault="00562918">
            <w:r>
              <w:t>- omejevalni ukrepi EU</w:t>
            </w:r>
          </w:p>
          <w:p w14:paraId="0634F126" w14:textId="77777777" w:rsidR="00562918" w:rsidRDefault="00562918">
            <w:r>
              <w:t>- sklepanje mednarodnih pogodb s strani EU</w:t>
            </w:r>
          </w:p>
          <w:p w14:paraId="3813EF36" w14:textId="77777777" w:rsidR="00562918" w:rsidRDefault="00562918">
            <w:r>
              <w:t>4</w:t>
            </w:r>
            <w:r w:rsidR="00C74657">
              <w:t>. Institucionalni del</w:t>
            </w:r>
          </w:p>
          <w:p w14:paraId="6FCCAB21" w14:textId="77777777" w:rsidR="00562918" w:rsidRDefault="00562918" w:rsidP="00562918">
            <w:r>
              <w:t xml:space="preserve">- </w:t>
            </w:r>
            <w:r w:rsidRPr="00562918">
              <w:t>Evropska služba za zunanje delovanje in visoki predstavnik</w:t>
            </w:r>
          </w:p>
          <w:p w14:paraId="19CDF9E4" w14:textId="77777777" w:rsidR="00562918" w:rsidRDefault="00562918" w:rsidP="00562918">
            <w:r>
              <w:t>- Evropski svet</w:t>
            </w:r>
          </w:p>
          <w:p w14:paraId="0DF85EB2" w14:textId="77777777" w:rsidR="00562918" w:rsidRDefault="00562918" w:rsidP="00562918">
            <w:r>
              <w:t>- Svet</w:t>
            </w:r>
          </w:p>
          <w:p w14:paraId="0C55955B" w14:textId="77777777" w:rsidR="00562918" w:rsidRDefault="00562918" w:rsidP="00562918">
            <w:r>
              <w:t>- Komisija</w:t>
            </w:r>
          </w:p>
          <w:p w14:paraId="4A4F6A7F" w14:textId="77777777" w:rsidR="00562918" w:rsidRDefault="00562918" w:rsidP="00562918">
            <w:r>
              <w:t>- Evropski parlament</w:t>
            </w:r>
          </w:p>
          <w:p w14:paraId="63B56AF1" w14:textId="77777777" w:rsidR="00562918" w:rsidRDefault="00562918" w:rsidP="00562918">
            <w:r>
              <w:t>- Sodišče Evropske unije</w:t>
            </w:r>
          </w:p>
          <w:p w14:paraId="41D49377" w14:textId="77777777" w:rsidR="00562918" w:rsidRDefault="00562918" w:rsidP="00562918">
            <w:r>
              <w:t>5. Narava in obseg pristojnosti na področju zunanje politike</w:t>
            </w:r>
          </w:p>
          <w:p w14:paraId="132A15FF" w14:textId="77777777" w:rsidR="00562918" w:rsidRDefault="00562918" w:rsidP="00562918"/>
          <w:p w14:paraId="509AA257" w14:textId="77777777" w:rsidR="00562918" w:rsidRDefault="00562918"/>
          <w:p w14:paraId="5752C11D" w14:textId="77777777" w:rsidR="008F5C83" w:rsidRDefault="00C74657">
            <w:r>
              <w:t>Dodatne vsebine se bodo dodajale glede na dosežen pravni razvoj v času izvajanja predmeta.</w:t>
            </w:r>
          </w:p>
        </w:tc>
        <w:tc>
          <w:tcPr>
            <w:tcW w:w="0" w:type="auto"/>
          </w:tcPr>
          <w:p w14:paraId="1CC769C0" w14:textId="77777777" w:rsidR="008F5C83" w:rsidRDefault="00C74657">
            <w:r>
              <w:lastRenderedPageBreak/>
              <w:t>The basic legal disciplines of the course are international law and EU law.</w:t>
            </w:r>
          </w:p>
          <w:p w14:paraId="2930BA07" w14:textId="6880E5A3" w:rsidR="008F5C83" w:rsidRDefault="00C74657">
            <w:r>
              <w:t xml:space="preserve">The study program is adjusted to address the topical problems from the discussed discipline, </w:t>
            </w:r>
            <w:r>
              <w:lastRenderedPageBreak/>
              <w:t xml:space="preserve">specifically the development of legal norms and relevant state practice. Legal questions arising from the determination and leadership of common foreign relations and defence policy within the EU, as well as the development of institutional structures for these purposes will be discussed in a comprehensive manner. Certain questions will be addressed in the framework of the study of a concrete case. </w:t>
            </w:r>
          </w:p>
          <w:p w14:paraId="4D5D58C3" w14:textId="77777777" w:rsidR="008F5C83" w:rsidRDefault="00C74657">
            <w:r>
              <w:t>1. Historical developments of European integrations in the fields of foreign, security and defence policy</w:t>
            </w:r>
          </w:p>
          <w:p w14:paraId="11230FDA" w14:textId="33F69C3F" w:rsidR="00562918" w:rsidRDefault="00562918">
            <w:r>
              <w:t>2. EU as a global actor</w:t>
            </w:r>
          </w:p>
          <w:p w14:paraId="0923DDF7" w14:textId="77777777" w:rsidR="008F5C83" w:rsidRDefault="00562918">
            <w:r>
              <w:t>3</w:t>
            </w:r>
            <w:r w:rsidR="00C74657">
              <w:t>. Substantive part:</w:t>
            </w:r>
          </w:p>
          <w:p w14:paraId="4006EFF2" w14:textId="77777777" w:rsidR="008F5C83" w:rsidRDefault="00C74657">
            <w:r>
              <w:t>- foreign relations of the EU</w:t>
            </w:r>
          </w:p>
          <w:p w14:paraId="652FFEFD" w14:textId="77777777" w:rsidR="008F5C83" w:rsidRDefault="00C74657">
            <w:r>
              <w:t>- security/defence policy of the EU</w:t>
            </w:r>
          </w:p>
          <w:p w14:paraId="7D561536" w14:textId="16D4E44C" w:rsidR="00562918" w:rsidRDefault="00562918">
            <w:r>
              <w:t>- restrictive measures of the EU</w:t>
            </w:r>
          </w:p>
          <w:p w14:paraId="6A78A8A2" w14:textId="77777777" w:rsidR="00562918" w:rsidRDefault="00562918">
            <w:r>
              <w:t>- international agreements of the EU</w:t>
            </w:r>
          </w:p>
          <w:p w14:paraId="31EA3DF9" w14:textId="77777777" w:rsidR="008F5C83" w:rsidRDefault="00562918">
            <w:r>
              <w:t>4</w:t>
            </w:r>
            <w:r w:rsidR="00C74657">
              <w:t>. Institutional part:</w:t>
            </w:r>
          </w:p>
          <w:p w14:paraId="02583B40" w14:textId="0046EF0F" w:rsidR="00562918" w:rsidRDefault="00562918">
            <w:r>
              <w:t xml:space="preserve">- </w:t>
            </w:r>
            <w:r w:rsidRPr="00562918">
              <w:t>The European External Action Service and the High Representative</w:t>
            </w:r>
          </w:p>
          <w:p w14:paraId="0DE5A5CC" w14:textId="77777777" w:rsidR="00562918" w:rsidRDefault="00562918">
            <w:r>
              <w:t xml:space="preserve">- </w:t>
            </w:r>
            <w:r w:rsidRPr="00562918">
              <w:t>The European Council</w:t>
            </w:r>
          </w:p>
          <w:p w14:paraId="3E1648A5" w14:textId="77777777" w:rsidR="00562918" w:rsidRDefault="00562918">
            <w:r>
              <w:t xml:space="preserve">- </w:t>
            </w:r>
            <w:r w:rsidRPr="00562918">
              <w:t>The Council</w:t>
            </w:r>
          </w:p>
          <w:p w14:paraId="77EDC1FF" w14:textId="77777777" w:rsidR="00562918" w:rsidRDefault="00562918">
            <w:r>
              <w:t xml:space="preserve">- </w:t>
            </w:r>
            <w:r w:rsidRPr="00562918">
              <w:t>The Commission</w:t>
            </w:r>
          </w:p>
          <w:p w14:paraId="77384E97" w14:textId="77777777" w:rsidR="00562918" w:rsidRDefault="00562918">
            <w:r>
              <w:t xml:space="preserve">- </w:t>
            </w:r>
            <w:r w:rsidRPr="00562918">
              <w:t>The European Parliament</w:t>
            </w:r>
          </w:p>
          <w:p w14:paraId="462BF9E8" w14:textId="77777777" w:rsidR="00562918" w:rsidRDefault="00562918">
            <w:r>
              <w:t xml:space="preserve">- </w:t>
            </w:r>
            <w:r w:rsidRPr="00562918">
              <w:t>The Court of Justice</w:t>
            </w:r>
            <w:r w:rsidRPr="00562918" w:rsidDel="00562918">
              <w:t xml:space="preserve"> </w:t>
            </w:r>
          </w:p>
          <w:p w14:paraId="201F0749" w14:textId="77777777" w:rsidR="00562918" w:rsidRDefault="00562918">
            <w:r>
              <w:t>5. The nature and scope of the EU external competences</w:t>
            </w:r>
          </w:p>
          <w:p w14:paraId="6167325E" w14:textId="77777777" w:rsidR="008F5C83" w:rsidRDefault="00C74657">
            <w:r>
              <w:t>Additional issues will be added to the curriculum due to new legal developments in the course of the lecture period.</w:t>
            </w:r>
          </w:p>
        </w:tc>
      </w:tr>
    </w:tbl>
    <w:p w14:paraId="6B2C532B" w14:textId="77777777" w:rsidR="008F5C83" w:rsidRDefault="008F5C83"/>
    <w:tbl>
      <w:tblPr>
        <w:tblStyle w:val="DefaultTable"/>
        <w:tblW w:w="5000" w:type="pct"/>
        <w:tblLook w:val="04A0" w:firstRow="1" w:lastRow="0" w:firstColumn="1" w:lastColumn="0" w:noHBand="0" w:noVBand="1"/>
      </w:tblPr>
      <w:tblGrid>
        <w:gridCol w:w="9638"/>
      </w:tblGrid>
      <w:tr w:rsidR="008F5C83" w14:paraId="1B202190" w14:textId="77777777" w:rsidTr="001323A2">
        <w:trPr>
          <w:cnfStyle w:val="100000000000" w:firstRow="1" w:lastRow="0" w:firstColumn="0" w:lastColumn="0" w:oddVBand="0" w:evenVBand="0" w:oddHBand="0" w:evenHBand="0" w:firstRowFirstColumn="0" w:firstRowLastColumn="0" w:lastRowFirstColumn="0" w:lastRowLastColumn="0"/>
        </w:trPr>
        <w:tc>
          <w:tcPr>
            <w:tcW w:w="0" w:type="auto"/>
          </w:tcPr>
          <w:p w14:paraId="1E7F77B5" w14:textId="77777777" w:rsidR="008F5C83" w:rsidRDefault="00C74657">
            <w:r>
              <w:t>Temeljna literatura in viri/Readings:</w:t>
            </w:r>
          </w:p>
        </w:tc>
      </w:tr>
      <w:tr w:rsidR="008F5C83" w14:paraId="35012933" w14:textId="77777777" w:rsidTr="001323A2">
        <w:trPr>
          <w:trHeight w:val="5125"/>
        </w:trPr>
        <w:tc>
          <w:tcPr>
            <w:tcW w:w="0" w:type="auto"/>
          </w:tcPr>
          <w:p w14:paraId="3AB45DBD" w14:textId="77777777" w:rsidR="008F5C83" w:rsidRDefault="00C74657">
            <w:r>
              <w:t>Temeljni študijski viri:</w:t>
            </w:r>
          </w:p>
          <w:p w14:paraId="347CFFFD" w14:textId="77777777" w:rsidR="00E40839" w:rsidRDefault="00E40839">
            <w:r>
              <w:t>WOUTERS, J., HOFFMEISTER, F., DE BAERE, G., RAMPOLOULOS, T., The Law of EU External Relations: Cases, Materials and Commentary on the EU as an International Legal Actor, Oxford University Press, 2021.</w:t>
            </w:r>
          </w:p>
          <w:p w14:paraId="3A756F11" w14:textId="11104B5B" w:rsidR="008F5C83" w:rsidRDefault="00C74657">
            <w:r>
              <w:t>Van VOOREN, B., WESSEL, R. A.: EU External Relations Law: text, cases and materials, Cambridge University Press, 2014.</w:t>
            </w:r>
          </w:p>
          <w:p w14:paraId="4632B711" w14:textId="77777777" w:rsidR="008F5C83" w:rsidRDefault="00C74657">
            <w:r>
              <w:t>CREMONA, M., DE WITTE, B. e tal: EU Foreign Relations Law, Hart Publishing, 2008.</w:t>
            </w:r>
          </w:p>
          <w:p w14:paraId="22A5E37D" w14:textId="42049363" w:rsidR="008F5C83" w:rsidRDefault="00C74657">
            <w:r>
              <w:t xml:space="preserve">KOUTRAKOS, P.: </w:t>
            </w:r>
            <w:r w:rsidR="00E40839">
              <w:t>EU International Relations Law</w:t>
            </w:r>
            <w:r>
              <w:t>, Hart Publishing, 20</w:t>
            </w:r>
            <w:r w:rsidR="00E40839">
              <w:t>15</w:t>
            </w:r>
            <w:r>
              <w:t>.</w:t>
            </w:r>
          </w:p>
          <w:p w14:paraId="511503DB" w14:textId="77777777" w:rsidR="00F35DD0" w:rsidRDefault="00F35DD0">
            <w:r w:rsidRPr="000F102A">
              <w:rPr>
                <w:rFonts w:eastAsia="MS Mincho" w:cs="Calibri"/>
                <w:bCs/>
                <w:szCs w:val="22"/>
              </w:rPr>
              <w:t>TEKAVČIČ VEBER, M.: Safeguarding fundamental values of the EU through the adoption of sanctions. University of Vienna law review, 2020, vol. 4, no. 1, str. 37-78.</w:t>
            </w:r>
          </w:p>
          <w:p w14:paraId="2E41D368" w14:textId="77777777" w:rsidR="00F35DD0" w:rsidRDefault="00F35DD0">
            <w:r>
              <w:t xml:space="preserve">TEKAVČIČ VEBER, </w:t>
            </w:r>
            <w:r>
              <w:rPr>
                <w:rFonts w:eastAsia="MS Mincho" w:cs="Calibri"/>
                <w:bCs/>
                <w:szCs w:val="22"/>
              </w:rPr>
              <w:t>M.,</w:t>
            </w:r>
            <w:r>
              <w:t xml:space="preserve"> MEDIŽEVEC, A.: </w:t>
            </w:r>
            <w:r w:rsidRPr="00E22B27">
              <w:rPr>
                <w:iCs/>
              </w:rPr>
              <w:t>R. (on the application of PJSC Rosneft Oil Company (formerly OJSC Rosneft Oil Company)) v Her Majesty’s Treasury and ors : judgment ereference for a preliminary ruling, 28th March 2017 (Case C-72/15, ECLI:EU:C:2017:236), OXIO 784</w:t>
            </w:r>
            <w:r>
              <w:t xml:space="preserve">. 2024. 1 spletni vir. Oxford international organizations. </w:t>
            </w:r>
            <w:hyperlink r:id="rId8" w:tgtFrame="_blank" w:history="1">
              <w:r>
                <w:rPr>
                  <w:rStyle w:val="Hyperlink"/>
                </w:rPr>
                <w:t>https://opil.ouplaw.com/display/10.1093/law-oxio/e784.013.1/law-oxio-e784?rskey=vfufUH&amp;result=2&amp;prd=OXIO</w:t>
              </w:r>
            </w:hyperlink>
            <w:r>
              <w:t>.</w:t>
            </w:r>
          </w:p>
          <w:p w14:paraId="2E58175F" w14:textId="562D93FB" w:rsidR="00E40839" w:rsidRDefault="00E40839" w:rsidP="00E40839">
            <w:r>
              <w:t xml:space="preserve">LENAERTS, K. in VAN NUFFEL, P. (ur.: </w:t>
            </w:r>
            <w:r>
              <w:t>CORTHAUT, T..): EU Constitutional Law, Oxford University Press 2022.</w:t>
            </w:r>
          </w:p>
          <w:p w14:paraId="2F22D5B6" w14:textId="2AD43185" w:rsidR="007D1D4E" w:rsidRDefault="007D1D4E">
            <w:r w:rsidRPr="007D1D4E">
              <w:t>SANCIN, V., MEDIŽEVEC, A.: Pravo zunanjega delovanja Evropske unije, Založba Univerze v Ljubljani, Ljubljana 2025. </w:t>
            </w:r>
          </w:p>
          <w:p w14:paraId="04856225" w14:textId="462907F3" w:rsidR="008F5C83" w:rsidRDefault="00C74657">
            <w:r>
              <w:t>SANCIN, V.: Mednarodno pravo v hierarhiji pravnih virov EU in njenih članic, Uradni list Republike</w:t>
            </w:r>
          </w:p>
          <w:p w14:paraId="0C12D5A0" w14:textId="77777777" w:rsidR="008F5C83" w:rsidRDefault="00C74657">
            <w:r>
              <w:t>Slovenije, Ljubljana, 2009.</w:t>
            </w:r>
          </w:p>
          <w:p w14:paraId="499A06BC" w14:textId="41F25876" w:rsidR="008F5C83" w:rsidRDefault="00C74657">
            <w:r>
              <w:t>Nabor literature se vsako leto dopolni z aktualnimi deli s področja problemov, ki se obravnavajo.</w:t>
            </w:r>
          </w:p>
        </w:tc>
      </w:tr>
    </w:tbl>
    <w:p w14:paraId="08964746" w14:textId="77777777" w:rsidR="008F5C83" w:rsidRDefault="008F5C83"/>
    <w:tbl>
      <w:tblPr>
        <w:tblStyle w:val="DefaultTable"/>
        <w:tblW w:w="5000" w:type="pct"/>
        <w:tblLook w:val="04A0" w:firstRow="1" w:lastRow="0" w:firstColumn="1" w:lastColumn="0" w:noHBand="0" w:noVBand="1"/>
      </w:tblPr>
      <w:tblGrid>
        <w:gridCol w:w="4886"/>
        <w:gridCol w:w="4752"/>
      </w:tblGrid>
      <w:tr w:rsidR="008F5C83" w14:paraId="786F2065"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0838EF52" w14:textId="77777777" w:rsidR="008F5C83" w:rsidRDefault="00C74657">
            <w:r>
              <w:t>Cilji in kompetence:</w:t>
            </w:r>
          </w:p>
        </w:tc>
        <w:tc>
          <w:tcPr>
            <w:tcW w:w="0" w:type="pct"/>
          </w:tcPr>
          <w:p w14:paraId="0B41DAAF" w14:textId="77777777" w:rsidR="008F5C83" w:rsidRDefault="00C74657">
            <w:r>
              <w:t>Objectives and competences:</w:t>
            </w:r>
          </w:p>
        </w:tc>
      </w:tr>
      <w:tr w:rsidR="008F5C83" w14:paraId="6FAFA280" w14:textId="77777777" w:rsidTr="001323A2">
        <w:tc>
          <w:tcPr>
            <w:tcW w:w="0" w:type="auto"/>
          </w:tcPr>
          <w:p w14:paraId="5A3AC511" w14:textId="77777777" w:rsidR="008F5C83" w:rsidRDefault="00C74657">
            <w:r>
              <w:lastRenderedPageBreak/>
              <w:t>Cilj predmeta je poglobljen študij pristojnosti EU kot mednarodne organizacije in njenih držav članic na področju zunanjih odnosov in varnostne politike. Posamezni problemi se obravnavajo multidisciplinarno ob upoštevanju razvoja mednarodnega prava, prava EU in mednarodnih odnosov.</w:t>
            </w:r>
          </w:p>
        </w:tc>
        <w:tc>
          <w:tcPr>
            <w:tcW w:w="0" w:type="auto"/>
          </w:tcPr>
          <w:p w14:paraId="1BA6F91E" w14:textId="77777777" w:rsidR="008F5C83" w:rsidRDefault="00C74657">
            <w:r>
              <w:t>The objective of the course is a detailed study of the competences of EU as an international organization and its member states in the fields of foreign relations and security policy. Individual issues will be discussed in a multidisciplinary manner considering the development of international law, EU law and international relations.</w:t>
            </w:r>
          </w:p>
        </w:tc>
      </w:tr>
    </w:tbl>
    <w:p w14:paraId="3FFA07F4" w14:textId="77777777" w:rsidR="008F5C83" w:rsidRDefault="008F5C83"/>
    <w:tbl>
      <w:tblPr>
        <w:tblStyle w:val="DefaultTable"/>
        <w:tblW w:w="5000" w:type="pct"/>
        <w:tblLook w:val="04A0" w:firstRow="1" w:lastRow="0" w:firstColumn="1" w:lastColumn="0" w:noHBand="0" w:noVBand="1"/>
      </w:tblPr>
      <w:tblGrid>
        <w:gridCol w:w="4792"/>
        <w:gridCol w:w="4846"/>
      </w:tblGrid>
      <w:tr w:rsidR="008F5C83" w14:paraId="56834EFA"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760FF46D" w14:textId="77777777" w:rsidR="008F5C83" w:rsidRDefault="00C74657">
            <w:r>
              <w:t>Predvideni študijski rezultati:</w:t>
            </w:r>
          </w:p>
        </w:tc>
        <w:tc>
          <w:tcPr>
            <w:tcW w:w="0" w:type="pct"/>
          </w:tcPr>
          <w:p w14:paraId="5D21032A" w14:textId="77777777" w:rsidR="008F5C83" w:rsidRDefault="00C74657">
            <w:r>
              <w:t>Intended learning outcomes:</w:t>
            </w:r>
          </w:p>
        </w:tc>
      </w:tr>
      <w:tr w:rsidR="008F5C83" w14:paraId="4BA4D093" w14:textId="77777777" w:rsidTr="001323A2">
        <w:tc>
          <w:tcPr>
            <w:tcW w:w="0" w:type="auto"/>
          </w:tcPr>
          <w:p w14:paraId="0679BC2B" w14:textId="77777777" w:rsidR="008F5C83" w:rsidRDefault="00C74657">
            <w:r>
              <w:t>Znanje in razumevanje:</w:t>
            </w:r>
          </w:p>
          <w:p w14:paraId="07346DF4" w14:textId="77777777" w:rsidR="008F5C83" w:rsidRDefault="00C74657">
            <w:r>
              <w:t>Študent pridobi sposobnost znanstvene analize problemov, vrednotenja različnih teoretičnih stališč, uporabe primerjalno pravne metode, kritične analize sodne prakse in pisnega oblikovanja zahtevnejše argumentacije.</w:t>
            </w:r>
          </w:p>
        </w:tc>
        <w:tc>
          <w:tcPr>
            <w:tcW w:w="0" w:type="auto"/>
          </w:tcPr>
          <w:p w14:paraId="016AE331" w14:textId="77777777" w:rsidR="008F5C83" w:rsidRDefault="00C74657">
            <w:r>
              <w:t>Knowledge and understanding:</w:t>
            </w:r>
          </w:p>
          <w:p w14:paraId="7C9A6F17" w14:textId="77777777" w:rsidR="008F5C83" w:rsidRDefault="00C74657">
            <w:r>
              <w:t>The student will gain skills of scientific analysis of problems, valuation of different theoretical positions, use of comparative legal methods, critical analysis of case law and drafting of complex legal argumentation.</w:t>
            </w:r>
          </w:p>
        </w:tc>
      </w:tr>
    </w:tbl>
    <w:p w14:paraId="0CE26927" w14:textId="77777777" w:rsidR="008F5C83" w:rsidRDefault="008F5C83"/>
    <w:tbl>
      <w:tblPr>
        <w:tblStyle w:val="DefaultTable"/>
        <w:tblW w:w="5000" w:type="pct"/>
        <w:tblLook w:val="04A0" w:firstRow="1" w:lastRow="0" w:firstColumn="1" w:lastColumn="0" w:noHBand="0" w:noVBand="1"/>
      </w:tblPr>
      <w:tblGrid>
        <w:gridCol w:w="4792"/>
        <w:gridCol w:w="4846"/>
      </w:tblGrid>
      <w:tr w:rsidR="008F5C83" w14:paraId="58FA0BE9"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64E8B729" w14:textId="77777777" w:rsidR="008F5C83" w:rsidRDefault="00C74657">
            <w:r>
              <w:t>Metode poučevanja in učenja:</w:t>
            </w:r>
          </w:p>
        </w:tc>
        <w:tc>
          <w:tcPr>
            <w:tcW w:w="0" w:type="pct"/>
          </w:tcPr>
          <w:p w14:paraId="4EC7905C" w14:textId="77777777" w:rsidR="008F5C83" w:rsidRDefault="00C74657">
            <w:r>
              <w:t>Learning and teaching methods:</w:t>
            </w:r>
          </w:p>
        </w:tc>
      </w:tr>
      <w:tr w:rsidR="008F5C83" w14:paraId="6F34ACCC" w14:textId="77777777" w:rsidTr="001323A2">
        <w:tc>
          <w:tcPr>
            <w:tcW w:w="0" w:type="auto"/>
          </w:tcPr>
          <w:p w14:paraId="0BA7D878" w14:textId="77777777" w:rsidR="008F5C83" w:rsidRDefault="00C74657">
            <w:r>
              <w:t>Predavanja – predavajo se izbrane teme, ki se določijo posebej glede na formalni pravni razvoj ter razvoj teorije in prakse.</w:t>
            </w:r>
          </w:p>
          <w:p w14:paraId="41281982" w14:textId="77777777" w:rsidR="008F5C83" w:rsidRDefault="00C74657">
            <w:r>
              <w:t>Seminarske vaje – na seminarskih vajah študentje predstavijo vsebino seminarske naloge.</w:t>
            </w:r>
          </w:p>
          <w:p w14:paraId="3A67669F" w14:textId="77777777" w:rsidR="008F5C83" w:rsidRDefault="00C74657">
            <w:r>
              <w:t>Drugo – izdelava seminarske naloge, ki obravnava zahtevnejši pravni problem z navedenih področij.</w:t>
            </w:r>
          </w:p>
          <w:p w14:paraId="2BD8A5CC" w14:textId="77777777" w:rsidR="008F5C83" w:rsidRDefault="00C74657">
            <w:r>
              <w:t>Individualni študij za izpit.</w:t>
            </w:r>
          </w:p>
        </w:tc>
        <w:tc>
          <w:tcPr>
            <w:tcW w:w="0" w:type="auto"/>
          </w:tcPr>
          <w:p w14:paraId="315D5A41" w14:textId="77777777" w:rsidR="008F5C83" w:rsidRDefault="00C74657">
            <w:r>
              <w:t>Lectures – specific topics, selected according to the development of the fundamental sources of international law and development of legal theory and practice will be discussed.</w:t>
            </w:r>
          </w:p>
          <w:p w14:paraId="655C2C9A" w14:textId="77777777" w:rsidR="008F5C83" w:rsidRDefault="00C74657">
            <w:r>
              <w:t>Seminar - students present the topic of their seminar research paper.</w:t>
            </w:r>
          </w:p>
          <w:p w14:paraId="1C280A9B" w14:textId="77777777" w:rsidR="008F5C83" w:rsidRDefault="00C74657">
            <w:r>
              <w:t>Other - preparation of a seminar research paper, which addresses a more advanced legal problem within the relevant disciplines.</w:t>
            </w:r>
          </w:p>
          <w:p w14:paraId="472B9D0C" w14:textId="77777777" w:rsidR="008F5C83" w:rsidRDefault="00C74657">
            <w:r>
              <w:t>Individual study for the exam.</w:t>
            </w:r>
          </w:p>
        </w:tc>
      </w:tr>
    </w:tbl>
    <w:p w14:paraId="52D60D56" w14:textId="77777777" w:rsidR="008F5C83" w:rsidRDefault="008F5C83"/>
    <w:tbl>
      <w:tblPr>
        <w:tblStyle w:val="DefaultTable"/>
        <w:tblW w:w="5000" w:type="pct"/>
        <w:tblLook w:val="04A0" w:firstRow="1" w:lastRow="0" w:firstColumn="1" w:lastColumn="0" w:noHBand="0" w:noVBand="1"/>
      </w:tblPr>
      <w:tblGrid>
        <w:gridCol w:w="3161"/>
        <w:gridCol w:w="3298"/>
        <w:gridCol w:w="3179"/>
      </w:tblGrid>
      <w:tr w:rsidR="008F5C83" w14:paraId="7CAD3E36"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78CA866A" w14:textId="77777777" w:rsidR="008F5C83" w:rsidRDefault="00C74657">
            <w:r>
              <w:t>Načini ocenjevanja:</w:t>
            </w:r>
          </w:p>
        </w:tc>
        <w:tc>
          <w:tcPr>
            <w:tcW w:w="0" w:type="pct"/>
          </w:tcPr>
          <w:p w14:paraId="0C93791C" w14:textId="77777777" w:rsidR="008F5C83" w:rsidRDefault="00C74657">
            <w:pPr>
              <w:keepNext/>
              <w:jc w:val="center"/>
            </w:pPr>
            <w:r>
              <w:t>Delež/Weight</w:t>
            </w:r>
          </w:p>
        </w:tc>
        <w:tc>
          <w:tcPr>
            <w:tcW w:w="0" w:type="pct"/>
          </w:tcPr>
          <w:p w14:paraId="1099F088" w14:textId="77777777" w:rsidR="008F5C83" w:rsidRDefault="00C74657">
            <w:r>
              <w:t>Assessment:</w:t>
            </w:r>
          </w:p>
        </w:tc>
      </w:tr>
      <w:tr w:rsidR="008F5C83" w14:paraId="7E1C0341" w14:textId="77777777" w:rsidTr="001323A2">
        <w:tc>
          <w:tcPr>
            <w:tcW w:w="0" w:type="auto"/>
          </w:tcPr>
          <w:p w14:paraId="1D388F49" w14:textId="77777777" w:rsidR="008F5C83" w:rsidRDefault="00C74657">
            <w:r>
              <w:t>Ustni izpit. Za pristop k izpitu se zahteva uspešno izdelana in predstavljena seminarska naloga. Predstavitev se lahko opravi na seminarskih vajah ali pred učiteljem ocenjevalcem.</w:t>
            </w:r>
          </w:p>
        </w:tc>
        <w:tc>
          <w:tcPr>
            <w:tcW w:w="0" w:type="auto"/>
          </w:tcPr>
          <w:p w14:paraId="1DDDAC21" w14:textId="77777777" w:rsidR="008F5C83" w:rsidRDefault="00C74657">
            <w:pPr>
              <w:keepNext/>
              <w:jc w:val="center"/>
            </w:pPr>
            <w:r>
              <w:t>100,00 %</w:t>
            </w:r>
          </w:p>
        </w:tc>
        <w:tc>
          <w:tcPr>
            <w:tcW w:w="0" w:type="auto"/>
          </w:tcPr>
          <w:p w14:paraId="5C2121D6" w14:textId="77777777" w:rsidR="008F5C83" w:rsidRDefault="00C74657">
            <w:r>
              <w:t>Oral examination. Successful preparation and presentation of the seminar research paper is the predisposition for partaking in the exam. The seminar research paper may be presented in the seminar or before a teacher examiner.</w:t>
            </w:r>
          </w:p>
        </w:tc>
      </w:tr>
    </w:tbl>
    <w:p w14:paraId="13B5BFC4" w14:textId="77777777" w:rsidR="008F5C83" w:rsidRDefault="008F5C83"/>
    <w:tbl>
      <w:tblPr>
        <w:tblStyle w:val="DefaultTable"/>
        <w:tblW w:w="5000" w:type="pct"/>
        <w:tblLook w:val="04A0" w:firstRow="1" w:lastRow="0" w:firstColumn="1" w:lastColumn="0" w:noHBand="0" w:noVBand="1"/>
      </w:tblPr>
      <w:tblGrid>
        <w:gridCol w:w="4919"/>
        <w:gridCol w:w="4719"/>
      </w:tblGrid>
      <w:tr w:rsidR="008F5C83" w14:paraId="5C7CA2B4" w14:textId="77777777" w:rsidTr="001323A2">
        <w:trPr>
          <w:cnfStyle w:val="100000000000" w:firstRow="1" w:lastRow="0" w:firstColumn="0" w:lastColumn="0" w:oddVBand="0" w:evenVBand="0" w:oddHBand="0" w:evenHBand="0" w:firstRowFirstColumn="0" w:firstRowLastColumn="0" w:lastRowFirstColumn="0" w:lastRowLastColumn="0"/>
        </w:trPr>
        <w:tc>
          <w:tcPr>
            <w:tcW w:w="0" w:type="pct"/>
          </w:tcPr>
          <w:p w14:paraId="3E8A6BF0" w14:textId="77777777" w:rsidR="008F5C83" w:rsidRDefault="00C74657">
            <w:r>
              <w:t>Ocenjevalna lestvica:</w:t>
            </w:r>
          </w:p>
        </w:tc>
        <w:tc>
          <w:tcPr>
            <w:tcW w:w="0" w:type="pct"/>
          </w:tcPr>
          <w:p w14:paraId="5F5BB6B2" w14:textId="77777777" w:rsidR="008F5C83" w:rsidRDefault="00C74657">
            <w:r>
              <w:t>Grading system:</w:t>
            </w:r>
          </w:p>
        </w:tc>
      </w:tr>
      <w:tr w:rsidR="008F5C83" w14:paraId="11D25229" w14:textId="77777777">
        <w:tc>
          <w:tcPr>
            <w:tcW w:w="0" w:type="auto"/>
          </w:tcPr>
          <w:p w14:paraId="347ABDA4" w14:textId="77777777" w:rsidR="008F5C83" w:rsidRDefault="00562918" w:rsidP="00134CC6">
            <w:pPr>
              <w:pStyle w:val="NormalWeb"/>
              <w:rPr>
                <w:szCs w:val="22"/>
              </w:rPr>
            </w:pPr>
            <w:r w:rsidRPr="00E22B27">
              <w:rPr>
                <w:rFonts w:ascii="Garamond" w:hAnsi="Garamond"/>
                <w:sz w:val="22"/>
                <w:szCs w:val="22"/>
              </w:rPr>
              <w:t xml:space="preserve">Izpit se oceni z ocenjevalno lestvico od 5 do 10: od 6 do 10 (pozitivno) oziroma 5 (negativno); ob upoštevanju Statuta UL in pravil Pravne fakultete. </w:t>
            </w:r>
          </w:p>
          <w:p w14:paraId="63CA05C8" w14:textId="77777777" w:rsidR="00562918" w:rsidRPr="00B85CDA" w:rsidRDefault="00562918" w:rsidP="001323A2">
            <w:pPr>
              <w:pStyle w:val="NormalWeb"/>
              <w:rPr>
                <w:szCs w:val="22"/>
              </w:rPr>
            </w:pPr>
          </w:p>
        </w:tc>
        <w:tc>
          <w:tcPr>
            <w:tcW w:w="0" w:type="auto"/>
          </w:tcPr>
          <w:p w14:paraId="584CB541" w14:textId="77777777" w:rsidR="008F5C83" w:rsidRDefault="00562918">
            <w:r w:rsidRPr="00E22B27">
              <w:rPr>
                <w:szCs w:val="22"/>
              </w:rPr>
              <w:t>The exam is graded on the grading scale 5-10: 6-10 (passing grades) and 5 (fail), in accordance with the Statute of the University of Ljubljana and the Rules of the Faculty of Law.</w:t>
            </w:r>
          </w:p>
        </w:tc>
      </w:tr>
    </w:tbl>
    <w:p w14:paraId="4CA6B6AD" w14:textId="77777777" w:rsidR="008F5C83" w:rsidRDefault="008F5C83"/>
    <w:tbl>
      <w:tblPr>
        <w:tblStyle w:val="DefaultTable"/>
        <w:tblW w:w="5000" w:type="pct"/>
        <w:tblLook w:val="04A0" w:firstRow="1" w:lastRow="0" w:firstColumn="1" w:lastColumn="0" w:noHBand="0" w:noVBand="1"/>
      </w:tblPr>
      <w:tblGrid>
        <w:gridCol w:w="9638"/>
      </w:tblGrid>
      <w:tr w:rsidR="008F5C83" w14:paraId="46F544D5" w14:textId="77777777" w:rsidTr="001323A2">
        <w:trPr>
          <w:cnfStyle w:val="100000000000" w:firstRow="1" w:lastRow="0" w:firstColumn="0" w:lastColumn="0" w:oddVBand="0" w:evenVBand="0" w:oddHBand="0" w:evenHBand="0" w:firstRowFirstColumn="0" w:firstRowLastColumn="0" w:lastRowFirstColumn="0" w:lastRowLastColumn="0"/>
        </w:trPr>
        <w:tc>
          <w:tcPr>
            <w:tcW w:w="0" w:type="auto"/>
          </w:tcPr>
          <w:p w14:paraId="32BAE523" w14:textId="77777777" w:rsidR="008F5C83" w:rsidRDefault="00C74657">
            <w:r>
              <w:t>Reference nosilca/Lecturer's references:</w:t>
            </w:r>
          </w:p>
        </w:tc>
      </w:tr>
      <w:tr w:rsidR="008F5C83" w14:paraId="16151CEF" w14:textId="77777777">
        <w:tc>
          <w:tcPr>
            <w:tcW w:w="0" w:type="auto"/>
          </w:tcPr>
          <w:p w14:paraId="4A5E8668" w14:textId="38F6AB60" w:rsidR="00562918" w:rsidRDefault="00562918" w:rsidP="00562918">
            <w:pPr>
              <w:jc w:val="both"/>
              <w:rPr>
                <w:rFonts w:eastAsia="MS Mincho" w:cs="Calibri"/>
                <w:bCs/>
                <w:szCs w:val="22"/>
              </w:rPr>
            </w:pPr>
            <w:r>
              <w:rPr>
                <w:rFonts w:eastAsia="MS Mincho" w:cs="Calibri"/>
                <w:bCs/>
                <w:szCs w:val="22"/>
              </w:rPr>
              <w:t>[1</w:t>
            </w:r>
            <w:r w:rsidRPr="000F102A">
              <w:rPr>
                <w:rFonts w:eastAsia="MS Mincho" w:cs="Calibri"/>
                <w:bCs/>
                <w:szCs w:val="22"/>
              </w:rPr>
              <w:t>] TEKAVČIČ VEBER, M.: Safeguarding fundamental values of the EU through the adoption of sanctions. University of Vienna law review, 2020, vol. 4, no. 1, str. 37-78.</w:t>
            </w:r>
          </w:p>
          <w:p w14:paraId="27571442" w14:textId="77777777" w:rsidR="00562918" w:rsidRDefault="00562918" w:rsidP="00562918">
            <w:pPr>
              <w:jc w:val="both"/>
            </w:pPr>
            <w:bookmarkStart w:id="0" w:name="rec37"/>
            <w:bookmarkEnd w:id="0"/>
            <w:r>
              <w:t xml:space="preserve">[2] TEKAVČIČ VEBER, </w:t>
            </w:r>
            <w:r>
              <w:rPr>
                <w:rFonts w:eastAsia="MS Mincho" w:cs="Calibri"/>
                <w:bCs/>
                <w:szCs w:val="22"/>
              </w:rPr>
              <w:t>M.,</w:t>
            </w:r>
            <w:r>
              <w:t xml:space="preserve"> MEDIŽEVEC, A.: </w:t>
            </w:r>
            <w:r w:rsidRPr="00134CC6">
              <w:rPr>
                <w:iCs/>
              </w:rPr>
              <w:t>Moldova v Komstroy : LLC, Judgment, reference for a preliminary ruling, 2nd October 2021 (Case C-741/19, ECLI:EU:C:2021:655), OXIO 785</w:t>
            </w:r>
            <w:r>
              <w:t xml:space="preserve">. 2024. 1 spletni vir. Oxford international organizations. </w:t>
            </w:r>
            <w:hyperlink r:id="rId9" w:tgtFrame="_blank" w:history="1">
              <w:r>
                <w:rPr>
                  <w:rStyle w:val="Hyperlink"/>
                </w:rPr>
                <w:t>https://opil.ouplaw.com/display/10.1093/law-oxio/e785.013.1/law-oxio-e785?rskey=HfNqwJ&amp;result=1&amp;prd=OXIO</w:t>
              </w:r>
            </w:hyperlink>
            <w:r>
              <w:t>.</w:t>
            </w:r>
          </w:p>
          <w:p w14:paraId="52B0DE99" w14:textId="77777777" w:rsidR="00562918" w:rsidRDefault="00562918" w:rsidP="00562918">
            <w:pPr>
              <w:jc w:val="both"/>
              <w:rPr>
                <w:rFonts w:eastAsia="MS Mincho" w:cs="Calibri"/>
                <w:bCs/>
                <w:szCs w:val="22"/>
              </w:rPr>
            </w:pPr>
            <w:r>
              <w:t xml:space="preserve">[3] TEKAVČIČ VEBER, </w:t>
            </w:r>
            <w:r>
              <w:rPr>
                <w:rFonts w:eastAsia="MS Mincho" w:cs="Calibri"/>
                <w:bCs/>
                <w:szCs w:val="22"/>
              </w:rPr>
              <w:t>M.,</w:t>
            </w:r>
            <w:r>
              <w:t xml:space="preserve"> MEDIŽEVEC, A.: </w:t>
            </w:r>
            <w:r w:rsidRPr="00134CC6">
              <w:rPr>
                <w:iCs/>
              </w:rPr>
              <w:t>R. (on the application of PJSC Rosneft Oil Company (formerly OJSC Rosneft Oil Company)) v Her Majesty’s Treasury and ors : judgment ereference for a preliminary ruling, 28th March 2017 (Case C-72/15, ECLI:EU:C:2017:236), OXIO 784</w:t>
            </w:r>
            <w:r>
              <w:t xml:space="preserve">. 2024. 1 spletni vir. </w:t>
            </w:r>
            <w:r>
              <w:lastRenderedPageBreak/>
              <w:t xml:space="preserve">Oxford international organizations. </w:t>
            </w:r>
            <w:hyperlink r:id="rId10" w:tgtFrame="_blank" w:history="1">
              <w:r>
                <w:rPr>
                  <w:rStyle w:val="Hyperlink"/>
                </w:rPr>
                <w:t>https://opil.ouplaw.com/display/10.1093/law-oxio/e784.013.1/law-oxio-e784?rskey=vfufUH&amp;result=2&amp;prd=OXIO</w:t>
              </w:r>
            </w:hyperlink>
            <w:r>
              <w:t>.</w:t>
            </w:r>
          </w:p>
          <w:p w14:paraId="66587D61" w14:textId="77777777" w:rsidR="00562918" w:rsidRPr="000F102A" w:rsidRDefault="00562918" w:rsidP="00562918">
            <w:pPr>
              <w:jc w:val="both"/>
              <w:rPr>
                <w:rFonts w:eastAsia="MS Mincho" w:cs="Calibri"/>
                <w:bCs/>
                <w:szCs w:val="22"/>
              </w:rPr>
            </w:pPr>
            <w:r>
              <w:rPr>
                <w:rFonts w:eastAsia="MS Mincho" w:cs="Calibri"/>
                <w:bCs/>
                <w:szCs w:val="22"/>
              </w:rPr>
              <w:t>[4</w:t>
            </w:r>
            <w:r w:rsidRPr="000F102A">
              <w:rPr>
                <w:rFonts w:eastAsia="MS Mincho" w:cs="Calibri"/>
                <w:bCs/>
                <w:szCs w:val="22"/>
              </w:rPr>
              <w:t>] TEKAVČIČ VEBER, M.: International organizations and AI-supported humanitarian aid: navigating through the applicable (data protection) legal regimes. International and Comparative Law Review. 2024, vol. 24, iss. 2, str. 54-83.</w:t>
            </w:r>
          </w:p>
          <w:p w14:paraId="6BCEDE5C" w14:textId="77777777" w:rsidR="00562918" w:rsidRPr="000F102A" w:rsidRDefault="00562918" w:rsidP="00134CC6">
            <w:pPr>
              <w:autoSpaceDE w:val="0"/>
              <w:autoSpaceDN w:val="0"/>
              <w:adjustRightInd w:val="0"/>
              <w:jc w:val="both"/>
              <w:rPr>
                <w:rFonts w:eastAsia="MS Mincho" w:cs="Calibri"/>
                <w:bCs/>
                <w:szCs w:val="22"/>
              </w:rPr>
            </w:pPr>
            <w:r w:rsidRPr="000F102A">
              <w:rPr>
                <w:rFonts w:eastAsia="MS Mincho" w:cs="Calibri"/>
                <w:bCs/>
                <w:szCs w:val="22"/>
              </w:rPr>
              <w:t>[</w:t>
            </w:r>
            <w:r>
              <w:rPr>
                <w:rFonts w:eastAsia="MS Mincho" w:cs="Calibri"/>
                <w:bCs/>
                <w:szCs w:val="22"/>
              </w:rPr>
              <w:t>5</w:t>
            </w:r>
            <w:r w:rsidRPr="000F102A">
              <w:rPr>
                <w:rFonts w:eastAsia="MS Mincho" w:cs="Calibri"/>
                <w:bCs/>
                <w:szCs w:val="22"/>
              </w:rPr>
              <w:t>] TEKAVČIČ VEBER, M.: Mednarodnopravni vidiki sprejema sankcij s strani Evropske unije proti tretjim državam. Pravnik : revija za pravno teorijo in prakso. 2016, letn. 71, št. 9/10, str. 717-742.</w:t>
            </w:r>
          </w:p>
          <w:p w14:paraId="7A354D61" w14:textId="77777777" w:rsidR="00562918" w:rsidRPr="000F102A" w:rsidRDefault="00562918" w:rsidP="00562918">
            <w:pPr>
              <w:jc w:val="both"/>
              <w:rPr>
                <w:rFonts w:eastAsia="MS Mincho" w:cs="Calibri"/>
                <w:bCs/>
                <w:szCs w:val="22"/>
              </w:rPr>
            </w:pPr>
            <w:r>
              <w:rPr>
                <w:rFonts w:eastAsia="MS Mincho" w:cs="Calibri"/>
                <w:bCs/>
                <w:szCs w:val="22"/>
              </w:rPr>
              <w:t>[6</w:t>
            </w:r>
            <w:r w:rsidRPr="000F102A">
              <w:rPr>
                <w:rFonts w:eastAsia="MS Mincho" w:cs="Calibri"/>
                <w:bCs/>
                <w:szCs w:val="22"/>
              </w:rPr>
              <w:t>] TEKAVČIČ VEBER, M.: The protection of community interests through countermeasures adopted by international organizations. V: ZYBERI, G. (ur.). Protecting community interests through international law. Cambridge; Antwerp; Chicago: Intersentia,2021, str. 127-162.</w:t>
            </w:r>
          </w:p>
          <w:p w14:paraId="69E679E6" w14:textId="77777777" w:rsidR="00562918" w:rsidRPr="000F102A" w:rsidRDefault="00562918" w:rsidP="00562918">
            <w:pPr>
              <w:autoSpaceDE w:val="0"/>
              <w:autoSpaceDN w:val="0"/>
              <w:adjustRightInd w:val="0"/>
              <w:jc w:val="both"/>
              <w:rPr>
                <w:rFonts w:eastAsia="MS Mincho" w:cs="Calibri"/>
                <w:bCs/>
                <w:szCs w:val="22"/>
              </w:rPr>
            </w:pPr>
            <w:r>
              <w:rPr>
                <w:rFonts w:eastAsia="MS Mincho" w:cs="Calibri"/>
                <w:bCs/>
                <w:szCs w:val="22"/>
              </w:rPr>
              <w:t>[7</w:t>
            </w:r>
            <w:r w:rsidRPr="000F102A">
              <w:rPr>
                <w:rFonts w:eastAsia="MS Mincho" w:cs="Calibri"/>
                <w:bCs/>
                <w:szCs w:val="22"/>
              </w:rPr>
              <w:t>] TEKAVČIČ VEBER, M.: The making of custom through sanctions of international organisations. V: DROUBI, S. (ur.), D'ASPREMONT, J. (ur.). International organisations, non-state actors, and the formation of customary international law. Manchester: Manchester University Press, 2020, str. 284-305.</w:t>
            </w:r>
          </w:p>
          <w:p w14:paraId="49DF498A" w14:textId="77777777" w:rsidR="008F5C83" w:rsidRDefault="008F5C83"/>
        </w:tc>
      </w:tr>
    </w:tbl>
    <w:p w14:paraId="4303C295" w14:textId="77777777" w:rsidR="00C74657" w:rsidRDefault="00C74657"/>
    <w:sectPr w:rsidR="00C74657"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401B9"/>
    <w:rsid w:val="00090302"/>
    <w:rsid w:val="000D7E81"/>
    <w:rsid w:val="001323A2"/>
    <w:rsid w:val="00134CC6"/>
    <w:rsid w:val="001402F8"/>
    <w:rsid w:val="00161343"/>
    <w:rsid w:val="002116B5"/>
    <w:rsid w:val="00241413"/>
    <w:rsid w:val="002B7CE7"/>
    <w:rsid w:val="002E15C9"/>
    <w:rsid w:val="00336864"/>
    <w:rsid w:val="003B6369"/>
    <w:rsid w:val="00434998"/>
    <w:rsid w:val="004350FB"/>
    <w:rsid w:val="004447FF"/>
    <w:rsid w:val="0049772F"/>
    <w:rsid w:val="004A73A8"/>
    <w:rsid w:val="004E3BCD"/>
    <w:rsid w:val="004E6CD2"/>
    <w:rsid w:val="00553CDF"/>
    <w:rsid w:val="00562918"/>
    <w:rsid w:val="005C2560"/>
    <w:rsid w:val="005D1C50"/>
    <w:rsid w:val="00601559"/>
    <w:rsid w:val="00615EA0"/>
    <w:rsid w:val="006345EB"/>
    <w:rsid w:val="0069778E"/>
    <w:rsid w:val="00752599"/>
    <w:rsid w:val="00762C94"/>
    <w:rsid w:val="007720CE"/>
    <w:rsid w:val="007D1D4E"/>
    <w:rsid w:val="007E45C0"/>
    <w:rsid w:val="00815C9A"/>
    <w:rsid w:val="00832376"/>
    <w:rsid w:val="0085648F"/>
    <w:rsid w:val="00895D99"/>
    <w:rsid w:val="008B7D52"/>
    <w:rsid w:val="008C5984"/>
    <w:rsid w:val="008D2254"/>
    <w:rsid w:val="008D55C1"/>
    <w:rsid w:val="008F361E"/>
    <w:rsid w:val="008F5C83"/>
    <w:rsid w:val="00901C23"/>
    <w:rsid w:val="00912701"/>
    <w:rsid w:val="0091601E"/>
    <w:rsid w:val="00940CCC"/>
    <w:rsid w:val="009834EA"/>
    <w:rsid w:val="00993DFA"/>
    <w:rsid w:val="009B765E"/>
    <w:rsid w:val="00A04B24"/>
    <w:rsid w:val="00A04E25"/>
    <w:rsid w:val="00A42E40"/>
    <w:rsid w:val="00A458AB"/>
    <w:rsid w:val="00AA0A0F"/>
    <w:rsid w:val="00AD6198"/>
    <w:rsid w:val="00AD7B51"/>
    <w:rsid w:val="00B13427"/>
    <w:rsid w:val="00B41EA5"/>
    <w:rsid w:val="00B85CDA"/>
    <w:rsid w:val="00B959B9"/>
    <w:rsid w:val="00BA4AE7"/>
    <w:rsid w:val="00BD197C"/>
    <w:rsid w:val="00BD2556"/>
    <w:rsid w:val="00BD7F5C"/>
    <w:rsid w:val="00BF33AC"/>
    <w:rsid w:val="00C407B2"/>
    <w:rsid w:val="00C716FC"/>
    <w:rsid w:val="00C74657"/>
    <w:rsid w:val="00CE5856"/>
    <w:rsid w:val="00D25C88"/>
    <w:rsid w:val="00DC7D1B"/>
    <w:rsid w:val="00DD5004"/>
    <w:rsid w:val="00E32890"/>
    <w:rsid w:val="00E40839"/>
    <w:rsid w:val="00E554A7"/>
    <w:rsid w:val="00EF57B9"/>
    <w:rsid w:val="00F1347F"/>
    <w:rsid w:val="00F35DD0"/>
    <w:rsid w:val="00F71EF5"/>
    <w:rsid w:val="00F841BC"/>
    <w:rsid w:val="00FA5092"/>
    <w:rsid w:val="00FB78F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E0EB"/>
  <w15:chartTrackingRefBased/>
  <w15:docId w15:val="{56A92880-5634-444E-8C71-312D6942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NormalWeb">
    <w:name w:val="Normal (Web)"/>
    <w:basedOn w:val="Normal"/>
    <w:uiPriority w:val="99"/>
    <w:unhideWhenUsed/>
    <w:rsid w:val="005629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562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918"/>
    <w:rPr>
      <w:rFonts w:ascii="Segoe UI" w:hAnsi="Segoe UI" w:cs="Segoe UI"/>
      <w:sz w:val="18"/>
      <w:szCs w:val="18"/>
    </w:rPr>
  </w:style>
  <w:style w:type="character" w:styleId="Hyperlink">
    <w:name w:val="Hyperlink"/>
    <w:basedOn w:val="DefaultParagraphFont"/>
    <w:uiPriority w:val="99"/>
    <w:semiHidden/>
    <w:unhideWhenUsed/>
    <w:rsid w:val="00562918"/>
    <w:rPr>
      <w:color w:val="0000FF"/>
      <w:u w:val="single"/>
    </w:rPr>
  </w:style>
  <w:style w:type="paragraph" w:styleId="Revision">
    <w:name w:val="Revision"/>
    <w:hidden/>
    <w:uiPriority w:val="99"/>
    <w:semiHidden/>
    <w:rsid w:val="007D1D4E"/>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l.ouplaw.com/display/10.1093/law-oxio/e784.013.1/law-oxio-e784?rskey=vfufUH&amp;result=2&amp;prd=OX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pil.ouplaw.com/display/10.1093/law-oxio/e784.013.1/law-oxio-e784?rskey=vfufUH&amp;result=2&amp;prd=OXIO" TargetMode="External"/><Relationship Id="rId4" Type="http://schemas.openxmlformats.org/officeDocument/2006/relationships/customXml" Target="../customXml/item4.xml"/><Relationship Id="rId9" Type="http://schemas.openxmlformats.org/officeDocument/2006/relationships/hyperlink" Target="https://opil.ouplaw.com/display/10.1093/law-oxio/e785.013.1/law-oxio-e785?rskey=HfNqwJ&amp;result=1&amp;prd=OXIO"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B453-BF7F-44F2-8643-E3C9C7FFCD55}">
  <ds:schemaRefs>
    <ds:schemaRef ds:uri="http://schemas.microsoft.com/sharepoint/v3/contenttype/forms"/>
  </ds:schemaRefs>
</ds:datastoreItem>
</file>

<file path=customXml/itemProps2.xml><?xml version="1.0" encoding="utf-8"?>
<ds:datastoreItem xmlns:ds="http://schemas.openxmlformats.org/officeDocument/2006/customXml" ds:itemID="{4DC3950F-2403-4560-AAB7-844175F0E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3B347-DFB5-450F-9B6C-9CF76206CF8F}">
  <ds:schemaRefs>
    <ds:schemaRef ds:uri="http://schemas.openxmlformats.org/officeDocument/2006/bibliography"/>
  </ds:schemaRefs>
</ds:datastoreItem>
</file>

<file path=customXml/itemProps4.xml><?xml version="1.0" encoding="utf-8"?>
<ds:datastoreItem xmlns:ds="http://schemas.openxmlformats.org/officeDocument/2006/customXml" ds:itemID="{D6A92E55-AB6B-4CD8-87D6-14CB3C88B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1585</Words>
  <Characters>9039</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4</cp:revision>
  <dcterms:created xsi:type="dcterms:W3CDTF">2025-05-09T11:34:00Z</dcterms:created>
  <dcterms:modified xsi:type="dcterms:W3CDTF">2025-08-19T08:11:00Z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