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1CEB07" w14:textId="77777777" w:rsidR="00FC3CF6" w:rsidRDefault="00F212D7">
      <w:pPr>
        <w:pStyle w:val="Naslov1"/>
      </w:pPr>
      <w:r>
        <w:t>Volilno pravo</w:t>
      </w:r>
      <w:r>
        <w:br/>
      </w:r>
      <w:r>
        <w:br/>
        <w:t>Učni načrt predmeta/Course syllabus</w:t>
      </w:r>
    </w:p>
    <w:tbl>
      <w:tblPr>
        <w:tblStyle w:val="VerticalTable"/>
        <w:tblW w:w="5000" w:type="pct"/>
        <w:tblLook w:val="04A0" w:firstRow="1" w:lastRow="0" w:firstColumn="1" w:lastColumn="0" w:noHBand="0" w:noVBand="1"/>
      </w:tblPr>
      <w:tblGrid>
        <w:gridCol w:w="2890"/>
        <w:gridCol w:w="6743"/>
      </w:tblGrid>
      <w:tr w:rsidR="00FC3CF6" w14:paraId="18012DA2" w14:textId="77777777" w:rsidTr="00FC3CF6">
        <w:tc>
          <w:tcPr>
            <w:cnfStyle w:val="001000000000" w:firstRow="0" w:lastRow="0" w:firstColumn="1" w:lastColumn="0" w:oddVBand="0" w:evenVBand="0" w:oddHBand="0" w:evenHBand="0" w:firstRowFirstColumn="0" w:firstRowLastColumn="0" w:lastRowFirstColumn="0" w:lastRowLastColumn="0"/>
            <w:tcW w:w="1500" w:type="pct"/>
          </w:tcPr>
          <w:p w14:paraId="17714217" w14:textId="77777777" w:rsidR="00FC3CF6" w:rsidRDefault="00F212D7">
            <w:r>
              <w:t>Predmet:</w:t>
            </w:r>
          </w:p>
        </w:tc>
        <w:tc>
          <w:tcPr>
            <w:tcW w:w="3500" w:type="pct"/>
          </w:tcPr>
          <w:p w14:paraId="6F0117F6" w14:textId="77777777" w:rsidR="00FC3CF6" w:rsidRDefault="00F212D7">
            <w:pPr>
              <w:cnfStyle w:val="000000000000" w:firstRow="0" w:lastRow="0" w:firstColumn="0" w:lastColumn="0" w:oddVBand="0" w:evenVBand="0" w:oddHBand="0" w:evenHBand="0" w:firstRowFirstColumn="0" w:firstRowLastColumn="0" w:lastRowFirstColumn="0" w:lastRowLastColumn="0"/>
            </w:pPr>
            <w:r>
              <w:t>Volilno pravo</w:t>
            </w:r>
          </w:p>
        </w:tc>
      </w:tr>
      <w:tr w:rsidR="00FC3CF6" w14:paraId="477C12BD" w14:textId="77777777" w:rsidTr="00FC3CF6">
        <w:tc>
          <w:tcPr>
            <w:cnfStyle w:val="001000000000" w:firstRow="0" w:lastRow="0" w:firstColumn="1" w:lastColumn="0" w:oddVBand="0" w:evenVBand="0" w:oddHBand="0" w:evenHBand="0" w:firstRowFirstColumn="0" w:firstRowLastColumn="0" w:lastRowFirstColumn="0" w:lastRowLastColumn="0"/>
            <w:tcW w:w="1500" w:type="pct"/>
          </w:tcPr>
          <w:p w14:paraId="00405DAC" w14:textId="77777777" w:rsidR="00FC3CF6" w:rsidRDefault="00F212D7">
            <w:r>
              <w:t>Course title:</w:t>
            </w:r>
          </w:p>
        </w:tc>
        <w:tc>
          <w:tcPr>
            <w:tcW w:w="3500" w:type="pct"/>
          </w:tcPr>
          <w:p w14:paraId="40563D57" w14:textId="77777777" w:rsidR="00FC3CF6" w:rsidRDefault="00F212D7">
            <w:pPr>
              <w:cnfStyle w:val="000000000000" w:firstRow="0" w:lastRow="0" w:firstColumn="0" w:lastColumn="0" w:oddVBand="0" w:evenVBand="0" w:oddHBand="0" w:evenHBand="0" w:firstRowFirstColumn="0" w:firstRowLastColumn="0" w:lastRowFirstColumn="0" w:lastRowLastColumn="0"/>
            </w:pPr>
            <w:r>
              <w:t>Electoral law</w:t>
            </w:r>
          </w:p>
        </w:tc>
      </w:tr>
      <w:tr w:rsidR="00FC3CF6" w14:paraId="092245F2" w14:textId="77777777" w:rsidTr="00FC3CF6">
        <w:tc>
          <w:tcPr>
            <w:cnfStyle w:val="001000000000" w:firstRow="0" w:lastRow="0" w:firstColumn="1" w:lastColumn="0" w:oddVBand="0" w:evenVBand="0" w:oddHBand="0" w:evenHBand="0" w:firstRowFirstColumn="0" w:firstRowLastColumn="0" w:lastRowFirstColumn="0" w:lastRowLastColumn="0"/>
            <w:tcW w:w="1500" w:type="pct"/>
          </w:tcPr>
          <w:p w14:paraId="7DE7C69B" w14:textId="77777777" w:rsidR="00FC3CF6" w:rsidRDefault="00F212D7">
            <w:r>
              <w:t>Članica nosilka/UL Member:</w:t>
            </w:r>
          </w:p>
        </w:tc>
        <w:tc>
          <w:tcPr>
            <w:tcW w:w="3500" w:type="pct"/>
          </w:tcPr>
          <w:p w14:paraId="3FBB225E" w14:textId="77777777" w:rsidR="00FC3CF6" w:rsidRDefault="00F212D7">
            <w:pPr>
              <w:cnfStyle w:val="000000000000" w:firstRow="0" w:lastRow="0" w:firstColumn="0" w:lastColumn="0" w:oddVBand="0" w:evenVBand="0" w:oddHBand="0" w:evenHBand="0" w:firstRowFirstColumn="0" w:firstRowLastColumn="0" w:lastRowFirstColumn="0" w:lastRowLastColumn="0"/>
            </w:pPr>
            <w:r>
              <w:t>UL PF</w:t>
            </w:r>
          </w:p>
        </w:tc>
      </w:tr>
    </w:tbl>
    <w:p w14:paraId="02E20792" w14:textId="77777777" w:rsidR="00FC3CF6" w:rsidRDefault="00FC3CF6"/>
    <w:tbl>
      <w:tblPr>
        <w:tblStyle w:val="DefaultTable"/>
        <w:tblW w:w="5000" w:type="pct"/>
        <w:tblLook w:val="04A0" w:firstRow="1" w:lastRow="0" w:firstColumn="1" w:lastColumn="0" w:noHBand="0" w:noVBand="1"/>
      </w:tblPr>
      <w:tblGrid>
        <w:gridCol w:w="3589"/>
        <w:gridCol w:w="2625"/>
        <w:gridCol w:w="1181"/>
        <w:gridCol w:w="1181"/>
        <w:gridCol w:w="1062"/>
      </w:tblGrid>
      <w:tr w:rsidR="00FC3CF6" w14:paraId="514DE66E" w14:textId="77777777" w:rsidTr="00FC3CF6">
        <w:trPr>
          <w:cnfStyle w:val="100000000000" w:firstRow="1" w:lastRow="0" w:firstColumn="0" w:lastColumn="0" w:oddVBand="0" w:evenVBand="0" w:oddHBand="0" w:evenHBand="0" w:firstRowFirstColumn="0" w:firstRowLastColumn="0" w:lastRowFirstColumn="0" w:lastRowLastColumn="0"/>
        </w:trPr>
        <w:tc>
          <w:tcPr>
            <w:tcW w:w="2000" w:type="pct"/>
          </w:tcPr>
          <w:p w14:paraId="3449176C" w14:textId="77777777" w:rsidR="00FC3CF6" w:rsidRDefault="00F212D7">
            <w:r>
              <w:t>Študijski programi in stopnja</w:t>
            </w:r>
          </w:p>
        </w:tc>
        <w:tc>
          <w:tcPr>
            <w:tcW w:w="1500" w:type="pct"/>
          </w:tcPr>
          <w:p w14:paraId="73146A97" w14:textId="77777777" w:rsidR="00FC3CF6" w:rsidRDefault="00F212D7">
            <w:r>
              <w:t>Študijska smer</w:t>
            </w:r>
          </w:p>
        </w:tc>
        <w:tc>
          <w:tcPr>
            <w:tcW w:w="500" w:type="pct"/>
          </w:tcPr>
          <w:p w14:paraId="714A2A53" w14:textId="77777777" w:rsidR="00FC3CF6" w:rsidRDefault="00F212D7">
            <w:r>
              <w:t>Letnik</w:t>
            </w:r>
          </w:p>
        </w:tc>
        <w:tc>
          <w:tcPr>
            <w:tcW w:w="500" w:type="pct"/>
          </w:tcPr>
          <w:p w14:paraId="45469B94" w14:textId="77777777" w:rsidR="00FC3CF6" w:rsidRDefault="00F212D7">
            <w:r>
              <w:t>Semestri</w:t>
            </w:r>
          </w:p>
        </w:tc>
        <w:tc>
          <w:tcPr>
            <w:tcW w:w="500" w:type="pct"/>
          </w:tcPr>
          <w:p w14:paraId="40CB461F" w14:textId="77777777" w:rsidR="00FC3CF6" w:rsidRDefault="00F212D7">
            <w:r>
              <w:t>Izbirnost</w:t>
            </w:r>
          </w:p>
        </w:tc>
      </w:tr>
      <w:tr w:rsidR="00FC3CF6" w14:paraId="095F820B" w14:textId="77777777" w:rsidTr="00FC3CF6">
        <w:tc>
          <w:tcPr>
            <w:tcW w:w="2000" w:type="pct"/>
          </w:tcPr>
          <w:p w14:paraId="348DFBA1" w14:textId="77777777" w:rsidR="00FC3CF6" w:rsidRDefault="00F212D7">
            <w:r>
              <w:t>Pravo, tretja stopnja, doktorski</w:t>
            </w:r>
          </w:p>
        </w:tc>
        <w:tc>
          <w:tcPr>
            <w:tcW w:w="1500" w:type="pct"/>
          </w:tcPr>
          <w:p w14:paraId="45FB1805" w14:textId="77777777" w:rsidR="00FC3CF6" w:rsidRDefault="00F212D7">
            <w:r>
              <w:t xml:space="preserve">Ni členitve (študijski program)                </w:t>
            </w:r>
          </w:p>
        </w:tc>
        <w:tc>
          <w:tcPr>
            <w:tcW w:w="750" w:type="pct"/>
          </w:tcPr>
          <w:p w14:paraId="4CD54B10" w14:textId="77777777" w:rsidR="00FC3CF6" w:rsidRDefault="00F212D7">
            <w:r>
              <w:t>1. letnik</w:t>
            </w:r>
          </w:p>
        </w:tc>
        <w:tc>
          <w:tcPr>
            <w:tcW w:w="750" w:type="pct"/>
          </w:tcPr>
          <w:p w14:paraId="2DAD7716" w14:textId="77777777" w:rsidR="00FC3CF6" w:rsidRDefault="00F212D7">
            <w:r>
              <w:t>Celoletni</w:t>
            </w:r>
          </w:p>
        </w:tc>
        <w:tc>
          <w:tcPr>
            <w:tcW w:w="750" w:type="pct"/>
          </w:tcPr>
          <w:p w14:paraId="72BE4B66" w14:textId="77777777" w:rsidR="00FC3CF6" w:rsidRDefault="00F212D7">
            <w:r>
              <w:t>izbirni</w:t>
            </w:r>
          </w:p>
        </w:tc>
      </w:tr>
    </w:tbl>
    <w:p w14:paraId="300C8862" w14:textId="77777777" w:rsidR="00FC3CF6" w:rsidRDefault="00FC3CF6"/>
    <w:tbl>
      <w:tblPr>
        <w:tblStyle w:val="VerticalTable"/>
        <w:tblW w:w="5000" w:type="pct"/>
        <w:tblLook w:val="04A0" w:firstRow="1" w:lastRow="0" w:firstColumn="1" w:lastColumn="0" w:noHBand="0" w:noVBand="1"/>
      </w:tblPr>
      <w:tblGrid>
        <w:gridCol w:w="5298"/>
        <w:gridCol w:w="4335"/>
      </w:tblGrid>
      <w:tr w:rsidR="00FC3CF6" w14:paraId="6A3F4707" w14:textId="77777777" w:rsidTr="00FC3CF6">
        <w:tc>
          <w:tcPr>
            <w:cnfStyle w:val="001000000000" w:firstRow="0" w:lastRow="0" w:firstColumn="1" w:lastColumn="0" w:oddVBand="0" w:evenVBand="0" w:oddHBand="0" w:evenHBand="0" w:firstRowFirstColumn="0" w:firstRowLastColumn="0" w:lastRowFirstColumn="0" w:lastRowLastColumn="0"/>
            <w:tcW w:w="2750" w:type="pct"/>
          </w:tcPr>
          <w:p w14:paraId="6BD8EDC4" w14:textId="77777777" w:rsidR="00FC3CF6" w:rsidRDefault="00F212D7">
            <w:r>
              <w:t>Univerzitetna koda predmeta/University course code:</w:t>
            </w:r>
          </w:p>
        </w:tc>
        <w:tc>
          <w:tcPr>
            <w:tcW w:w="2250" w:type="pct"/>
          </w:tcPr>
          <w:p w14:paraId="7C26740E" w14:textId="77777777" w:rsidR="00FC3CF6" w:rsidRDefault="00F212D7">
            <w:pPr>
              <w:cnfStyle w:val="000000000000" w:firstRow="0" w:lastRow="0" w:firstColumn="0" w:lastColumn="0" w:oddVBand="0" w:evenVBand="0" w:oddHBand="0" w:evenHBand="0" w:firstRowFirstColumn="0" w:firstRowLastColumn="0" w:lastRowFirstColumn="0" w:lastRowLastColumn="0"/>
            </w:pPr>
            <w:r>
              <w:t>0046496</w:t>
            </w:r>
          </w:p>
        </w:tc>
      </w:tr>
      <w:tr w:rsidR="00FC3CF6" w14:paraId="6850624B" w14:textId="77777777" w:rsidTr="00FC3CF6">
        <w:tc>
          <w:tcPr>
            <w:cnfStyle w:val="001000000000" w:firstRow="0" w:lastRow="0" w:firstColumn="1" w:lastColumn="0" w:oddVBand="0" w:evenVBand="0" w:oddHBand="0" w:evenHBand="0" w:firstRowFirstColumn="0" w:firstRowLastColumn="0" w:lastRowFirstColumn="0" w:lastRowLastColumn="0"/>
            <w:tcW w:w="2750" w:type="pct"/>
          </w:tcPr>
          <w:p w14:paraId="1894C0D2" w14:textId="77777777" w:rsidR="00FC3CF6" w:rsidRDefault="00F212D7">
            <w:r>
              <w:t>Koda učne enote na članici/UL Member course code:</w:t>
            </w:r>
          </w:p>
        </w:tc>
        <w:tc>
          <w:tcPr>
            <w:tcW w:w="2250" w:type="pct"/>
          </w:tcPr>
          <w:p w14:paraId="1DB5F3A2" w14:textId="77777777" w:rsidR="00FC3CF6" w:rsidRDefault="00F212D7">
            <w:pPr>
              <w:cnfStyle w:val="000000000000" w:firstRow="0" w:lastRow="0" w:firstColumn="0" w:lastColumn="0" w:oddVBand="0" w:evenVBand="0" w:oddHBand="0" w:evenHBand="0" w:firstRowFirstColumn="0" w:firstRowLastColumn="0" w:lastRowFirstColumn="0" w:lastRowLastColumn="0"/>
            </w:pPr>
            <w:r>
              <w:t>591</w:t>
            </w:r>
          </w:p>
        </w:tc>
      </w:tr>
    </w:tbl>
    <w:p w14:paraId="6ED7CC48" w14:textId="77777777" w:rsidR="00FC3CF6" w:rsidRDefault="00FC3CF6"/>
    <w:tbl>
      <w:tblPr>
        <w:tblStyle w:val="DefaultTable"/>
        <w:tblW w:w="5000" w:type="pct"/>
        <w:tblLook w:val="04A0" w:firstRow="1" w:lastRow="0" w:firstColumn="1" w:lastColumn="0" w:noHBand="0" w:noVBand="1"/>
      </w:tblPr>
      <w:tblGrid>
        <w:gridCol w:w="1475"/>
        <w:gridCol w:w="1475"/>
        <w:gridCol w:w="1475"/>
        <w:gridCol w:w="1476"/>
        <w:gridCol w:w="1476"/>
        <w:gridCol w:w="1476"/>
        <w:gridCol w:w="785"/>
      </w:tblGrid>
      <w:tr w:rsidR="00FC3CF6" w14:paraId="3F1D2E32" w14:textId="77777777" w:rsidTr="00FC3CF6">
        <w:trPr>
          <w:cnfStyle w:val="100000000000" w:firstRow="1" w:lastRow="0" w:firstColumn="0" w:lastColumn="0" w:oddVBand="0" w:evenVBand="0" w:oddHBand="0" w:evenHBand="0" w:firstRowFirstColumn="0" w:firstRowLastColumn="0" w:lastRowFirstColumn="0" w:lastRowLastColumn="0"/>
        </w:trPr>
        <w:tc>
          <w:tcPr>
            <w:tcW w:w="800" w:type="pct"/>
          </w:tcPr>
          <w:p w14:paraId="67C4DBB7" w14:textId="77777777" w:rsidR="00FC3CF6" w:rsidRDefault="00F212D7">
            <w:pPr>
              <w:keepNext/>
              <w:jc w:val="center"/>
            </w:pPr>
            <w:r>
              <w:t>Predavanja</w:t>
            </w:r>
            <w:r>
              <w:br/>
              <w:t>/Lectures</w:t>
            </w:r>
          </w:p>
        </w:tc>
        <w:tc>
          <w:tcPr>
            <w:tcW w:w="800" w:type="pct"/>
          </w:tcPr>
          <w:p w14:paraId="062DFB89" w14:textId="77777777" w:rsidR="00FC3CF6" w:rsidRDefault="00F212D7">
            <w:pPr>
              <w:keepNext/>
              <w:jc w:val="center"/>
            </w:pPr>
            <w:r>
              <w:t>Seminar</w:t>
            </w:r>
            <w:r>
              <w:br/>
              <w:t>/Seminar</w:t>
            </w:r>
          </w:p>
        </w:tc>
        <w:tc>
          <w:tcPr>
            <w:tcW w:w="800" w:type="pct"/>
          </w:tcPr>
          <w:p w14:paraId="2D177A82" w14:textId="77777777" w:rsidR="00FC3CF6" w:rsidRDefault="00F212D7">
            <w:pPr>
              <w:keepNext/>
              <w:jc w:val="center"/>
            </w:pPr>
            <w:r>
              <w:t>Vaje</w:t>
            </w:r>
            <w:r>
              <w:br/>
              <w:t>/Tutorials</w:t>
            </w:r>
          </w:p>
        </w:tc>
        <w:tc>
          <w:tcPr>
            <w:tcW w:w="800" w:type="pct"/>
          </w:tcPr>
          <w:p w14:paraId="78C3887E" w14:textId="77777777" w:rsidR="00FC3CF6" w:rsidRDefault="00F212D7">
            <w:pPr>
              <w:keepNext/>
              <w:jc w:val="center"/>
            </w:pPr>
            <w:r>
              <w:t>Klinične vaje</w:t>
            </w:r>
            <w:r>
              <w:br/>
              <w:t>/Clinical tutorials</w:t>
            </w:r>
          </w:p>
        </w:tc>
        <w:tc>
          <w:tcPr>
            <w:tcW w:w="800" w:type="pct"/>
          </w:tcPr>
          <w:p w14:paraId="00583D9E" w14:textId="77777777" w:rsidR="00FC3CF6" w:rsidRDefault="00F212D7">
            <w:pPr>
              <w:keepNext/>
              <w:jc w:val="center"/>
            </w:pPr>
            <w:r>
              <w:t>Druge oblike študija</w:t>
            </w:r>
            <w:r>
              <w:br/>
              <w:t>/Other forms of study</w:t>
            </w:r>
          </w:p>
        </w:tc>
        <w:tc>
          <w:tcPr>
            <w:tcW w:w="800" w:type="pct"/>
          </w:tcPr>
          <w:p w14:paraId="544082FB" w14:textId="77777777" w:rsidR="00FC3CF6" w:rsidRDefault="00F212D7">
            <w:pPr>
              <w:keepNext/>
              <w:jc w:val="center"/>
            </w:pPr>
            <w:r>
              <w:t>Samostojno delo</w:t>
            </w:r>
            <w:r>
              <w:br/>
              <w:t>/Individual student work</w:t>
            </w:r>
          </w:p>
        </w:tc>
        <w:tc>
          <w:tcPr>
            <w:tcW w:w="200" w:type="pct"/>
          </w:tcPr>
          <w:p w14:paraId="49EDB3F2" w14:textId="77777777" w:rsidR="00FC3CF6" w:rsidRDefault="00F212D7">
            <w:pPr>
              <w:keepNext/>
              <w:jc w:val="center"/>
            </w:pPr>
            <w:r>
              <w:t>ECTS</w:t>
            </w:r>
          </w:p>
        </w:tc>
      </w:tr>
      <w:tr w:rsidR="00FC3CF6" w14:paraId="5A33D47A" w14:textId="77777777">
        <w:tc>
          <w:tcPr>
            <w:tcW w:w="0" w:type="auto"/>
          </w:tcPr>
          <w:p w14:paraId="5D82017D" w14:textId="77777777" w:rsidR="00FC3CF6" w:rsidRDefault="00F212D7">
            <w:pPr>
              <w:keepNext/>
              <w:jc w:val="center"/>
            </w:pPr>
            <w:r>
              <w:t>15</w:t>
            </w:r>
          </w:p>
        </w:tc>
        <w:tc>
          <w:tcPr>
            <w:tcW w:w="0" w:type="auto"/>
          </w:tcPr>
          <w:p w14:paraId="5F8003A2" w14:textId="77777777" w:rsidR="00FC3CF6" w:rsidRDefault="00F212D7">
            <w:pPr>
              <w:keepNext/>
              <w:jc w:val="center"/>
            </w:pPr>
            <w:r>
              <w:t>8</w:t>
            </w:r>
          </w:p>
        </w:tc>
        <w:tc>
          <w:tcPr>
            <w:tcW w:w="0" w:type="auto"/>
          </w:tcPr>
          <w:p w14:paraId="4D1834EB" w14:textId="77777777" w:rsidR="00FC3CF6" w:rsidRDefault="00F212D7">
            <w:pPr>
              <w:keepNext/>
              <w:jc w:val="center"/>
            </w:pPr>
            <w:r>
              <w:t>0</w:t>
            </w:r>
          </w:p>
        </w:tc>
        <w:tc>
          <w:tcPr>
            <w:tcW w:w="0" w:type="auto"/>
          </w:tcPr>
          <w:p w14:paraId="34B2F7C2" w14:textId="77777777" w:rsidR="00FC3CF6" w:rsidRDefault="00F212D7">
            <w:pPr>
              <w:keepNext/>
              <w:jc w:val="center"/>
            </w:pPr>
            <w:r>
              <w:t>0</w:t>
            </w:r>
          </w:p>
        </w:tc>
        <w:tc>
          <w:tcPr>
            <w:tcW w:w="0" w:type="auto"/>
          </w:tcPr>
          <w:p w14:paraId="50D7A5E4" w14:textId="77777777" w:rsidR="00FC3CF6" w:rsidRDefault="00F212D7">
            <w:pPr>
              <w:keepNext/>
              <w:jc w:val="center"/>
            </w:pPr>
            <w:r>
              <w:t>0</w:t>
            </w:r>
          </w:p>
        </w:tc>
        <w:tc>
          <w:tcPr>
            <w:tcW w:w="0" w:type="auto"/>
          </w:tcPr>
          <w:p w14:paraId="7C04028D" w14:textId="77777777" w:rsidR="00FC3CF6" w:rsidRDefault="00F212D7">
            <w:pPr>
              <w:keepNext/>
              <w:jc w:val="center"/>
            </w:pPr>
            <w:r>
              <w:t>102</w:t>
            </w:r>
          </w:p>
        </w:tc>
        <w:tc>
          <w:tcPr>
            <w:tcW w:w="0" w:type="auto"/>
          </w:tcPr>
          <w:p w14:paraId="40E2DC8D" w14:textId="77777777" w:rsidR="00FC3CF6" w:rsidRDefault="00F212D7">
            <w:pPr>
              <w:keepNext/>
              <w:jc w:val="center"/>
            </w:pPr>
            <w:r>
              <w:t>5</w:t>
            </w:r>
          </w:p>
        </w:tc>
      </w:tr>
    </w:tbl>
    <w:p w14:paraId="116B428F" w14:textId="77777777" w:rsidR="00FC3CF6" w:rsidRDefault="00FC3CF6"/>
    <w:tbl>
      <w:tblPr>
        <w:tblStyle w:val="VerticalTable"/>
        <w:tblW w:w="5000" w:type="pct"/>
        <w:tblLook w:val="04A0" w:firstRow="1" w:lastRow="0" w:firstColumn="1" w:lastColumn="0" w:noHBand="0" w:noVBand="1"/>
      </w:tblPr>
      <w:tblGrid>
        <w:gridCol w:w="3083"/>
        <w:gridCol w:w="6550"/>
      </w:tblGrid>
      <w:tr w:rsidR="00FC3CF6" w14:paraId="24DABF40" w14:textId="77777777" w:rsidTr="00FC3CF6">
        <w:tc>
          <w:tcPr>
            <w:cnfStyle w:val="001000000000" w:firstRow="0" w:lastRow="0" w:firstColumn="1" w:lastColumn="0" w:oddVBand="0" w:evenVBand="0" w:oddHBand="0" w:evenHBand="0" w:firstRowFirstColumn="0" w:firstRowLastColumn="0" w:lastRowFirstColumn="0" w:lastRowLastColumn="0"/>
            <w:tcW w:w="1600" w:type="pct"/>
          </w:tcPr>
          <w:p w14:paraId="5AE5338D" w14:textId="77777777" w:rsidR="00FC3CF6" w:rsidRDefault="00F212D7">
            <w:r>
              <w:t>Nosilec predmeta/Lecturer:</w:t>
            </w:r>
          </w:p>
        </w:tc>
        <w:tc>
          <w:tcPr>
            <w:tcW w:w="3400" w:type="pct"/>
          </w:tcPr>
          <w:p w14:paraId="25F78CA1" w14:textId="77777777" w:rsidR="00FC3CF6" w:rsidRDefault="00F212D7">
            <w:pPr>
              <w:cnfStyle w:val="000000000000" w:firstRow="0" w:lastRow="0" w:firstColumn="0" w:lastColumn="0" w:oddVBand="0" w:evenVBand="0" w:oddHBand="0" w:evenHBand="0" w:firstRowFirstColumn="0" w:firstRowLastColumn="0" w:lastRowFirstColumn="0" w:lastRowLastColumn="0"/>
            </w:pPr>
            <w:r>
              <w:t xml:space="preserve">Saša Zagorc                </w:t>
            </w:r>
          </w:p>
        </w:tc>
      </w:tr>
    </w:tbl>
    <w:p w14:paraId="76E7CE04" w14:textId="77777777" w:rsidR="00FC3CF6" w:rsidRDefault="00FC3CF6"/>
    <w:tbl>
      <w:tblPr>
        <w:tblStyle w:val="VerticalTable"/>
        <w:tblW w:w="5000" w:type="pct"/>
        <w:tblLook w:val="04A0" w:firstRow="1" w:lastRow="0" w:firstColumn="1" w:lastColumn="0" w:noHBand="0" w:noVBand="1"/>
      </w:tblPr>
      <w:tblGrid>
        <w:gridCol w:w="3083"/>
        <w:gridCol w:w="6550"/>
      </w:tblGrid>
      <w:tr w:rsidR="00FC3CF6" w14:paraId="1E38D780" w14:textId="77777777" w:rsidTr="00FC3CF6">
        <w:tc>
          <w:tcPr>
            <w:cnfStyle w:val="001000000000" w:firstRow="0" w:lastRow="0" w:firstColumn="1" w:lastColumn="0" w:oddVBand="0" w:evenVBand="0" w:oddHBand="0" w:evenHBand="0" w:firstRowFirstColumn="0" w:firstRowLastColumn="0" w:lastRowFirstColumn="0" w:lastRowLastColumn="0"/>
            <w:tcW w:w="1600" w:type="pct"/>
          </w:tcPr>
          <w:p w14:paraId="35D77281" w14:textId="77777777" w:rsidR="00FC3CF6" w:rsidRDefault="00F212D7">
            <w:r>
              <w:t>Vrsta predmeta/Course type:</w:t>
            </w:r>
          </w:p>
        </w:tc>
        <w:tc>
          <w:tcPr>
            <w:tcW w:w="3400" w:type="pct"/>
          </w:tcPr>
          <w:p w14:paraId="25508CDE" w14:textId="77777777" w:rsidR="00FC3CF6" w:rsidRDefault="00F212D7">
            <w:pPr>
              <w:cnfStyle w:val="000000000000" w:firstRow="0" w:lastRow="0" w:firstColumn="0" w:lastColumn="0" w:oddVBand="0" w:evenVBand="0" w:oddHBand="0" w:evenHBand="0" w:firstRowFirstColumn="0" w:firstRowLastColumn="0" w:lastRowFirstColumn="0" w:lastRowLastColumn="0"/>
            </w:pPr>
            <w:r>
              <w:t>izbirni/Optional subject</w:t>
            </w:r>
          </w:p>
        </w:tc>
      </w:tr>
    </w:tbl>
    <w:p w14:paraId="05AFFB7B" w14:textId="77777777" w:rsidR="00FC3CF6" w:rsidRDefault="00FC3CF6"/>
    <w:tbl>
      <w:tblPr>
        <w:tblStyle w:val="VerticalTable"/>
        <w:tblW w:w="5000" w:type="pct"/>
        <w:tblLook w:val="04A0" w:firstRow="1" w:lastRow="0" w:firstColumn="1" w:lastColumn="0" w:noHBand="0" w:noVBand="1"/>
      </w:tblPr>
      <w:tblGrid>
        <w:gridCol w:w="3082"/>
        <w:gridCol w:w="3083"/>
        <w:gridCol w:w="3468"/>
      </w:tblGrid>
      <w:tr w:rsidR="00FC3CF6" w14:paraId="1B79996C" w14:textId="77777777" w:rsidTr="00FC3CF6">
        <w:tc>
          <w:tcPr>
            <w:cnfStyle w:val="001000000000" w:firstRow="0" w:lastRow="0" w:firstColumn="1" w:lastColumn="0" w:oddVBand="0" w:evenVBand="0" w:oddHBand="0" w:evenHBand="0" w:firstRowFirstColumn="0" w:firstRowLastColumn="0" w:lastRowFirstColumn="0" w:lastRowLastColumn="0"/>
            <w:tcW w:w="1600" w:type="pct"/>
          </w:tcPr>
          <w:p w14:paraId="4B4F5714" w14:textId="77777777" w:rsidR="00FC3CF6" w:rsidRDefault="00F212D7">
            <w:r>
              <w:t>Jeziki/Languages:</w:t>
            </w:r>
          </w:p>
        </w:tc>
        <w:tc>
          <w:tcPr>
            <w:tcW w:w="1600" w:type="pct"/>
          </w:tcPr>
          <w:p w14:paraId="3DCC795A" w14:textId="77777777" w:rsidR="00FC3CF6" w:rsidRDefault="00F212D7">
            <w:pPr>
              <w:cnfStyle w:val="000000000000" w:firstRow="0" w:lastRow="0" w:firstColumn="0" w:lastColumn="0" w:oddVBand="0" w:evenVBand="0" w:oddHBand="0" w:evenHBand="0" w:firstRowFirstColumn="0" w:firstRowLastColumn="0" w:lastRowFirstColumn="0" w:lastRowLastColumn="0"/>
            </w:pPr>
            <w:r>
              <w:t>Predavanja/Lectures:</w:t>
            </w:r>
          </w:p>
        </w:tc>
        <w:tc>
          <w:tcPr>
            <w:tcW w:w="1800" w:type="pct"/>
          </w:tcPr>
          <w:p w14:paraId="6858386D" w14:textId="77777777" w:rsidR="00FC3CF6" w:rsidRDefault="00F212D7">
            <w:pPr>
              <w:cnfStyle w:val="000000000000" w:firstRow="0" w:lastRow="0" w:firstColumn="0" w:lastColumn="0" w:oddVBand="0" w:evenVBand="0" w:oddHBand="0" w:evenHBand="0" w:firstRowFirstColumn="0" w:firstRowLastColumn="0" w:lastRowFirstColumn="0" w:lastRowLastColumn="0"/>
            </w:pPr>
            <w:r>
              <w:t xml:space="preserve">Slovenščina                    </w:t>
            </w:r>
          </w:p>
        </w:tc>
      </w:tr>
      <w:tr w:rsidR="00FC3CF6" w14:paraId="50D3D9B2" w14:textId="77777777" w:rsidTr="00FC3CF6">
        <w:tc>
          <w:tcPr>
            <w:cnfStyle w:val="001000000000" w:firstRow="0" w:lastRow="0" w:firstColumn="1" w:lastColumn="0" w:oddVBand="0" w:evenVBand="0" w:oddHBand="0" w:evenHBand="0" w:firstRowFirstColumn="0" w:firstRowLastColumn="0" w:lastRowFirstColumn="0" w:lastRowLastColumn="0"/>
            <w:tcW w:w="1600" w:type="pct"/>
          </w:tcPr>
          <w:p w14:paraId="22FF8653" w14:textId="77777777" w:rsidR="00FC3CF6" w:rsidRDefault="00FC3CF6"/>
        </w:tc>
        <w:tc>
          <w:tcPr>
            <w:tcW w:w="1600" w:type="pct"/>
          </w:tcPr>
          <w:p w14:paraId="3FD0D992" w14:textId="77777777" w:rsidR="00FC3CF6" w:rsidRDefault="00F212D7">
            <w:pPr>
              <w:cnfStyle w:val="000000000000" w:firstRow="0" w:lastRow="0" w:firstColumn="0" w:lastColumn="0" w:oddVBand="0" w:evenVBand="0" w:oddHBand="0" w:evenHBand="0" w:firstRowFirstColumn="0" w:firstRowLastColumn="0" w:lastRowFirstColumn="0" w:lastRowLastColumn="0"/>
            </w:pPr>
            <w:r>
              <w:t>Vaje/Tutorial:</w:t>
            </w:r>
          </w:p>
        </w:tc>
        <w:tc>
          <w:tcPr>
            <w:tcW w:w="1800" w:type="pct"/>
          </w:tcPr>
          <w:p w14:paraId="4A379174" w14:textId="77777777" w:rsidR="00FC3CF6" w:rsidRDefault="00F212D7">
            <w:pPr>
              <w:cnfStyle w:val="000000000000" w:firstRow="0" w:lastRow="0" w:firstColumn="0" w:lastColumn="0" w:oddVBand="0" w:evenVBand="0" w:oddHBand="0" w:evenHBand="0" w:firstRowFirstColumn="0" w:firstRowLastColumn="0" w:lastRowFirstColumn="0" w:lastRowLastColumn="0"/>
            </w:pPr>
            <w:r>
              <w:t xml:space="preserve">Slovenščina                    </w:t>
            </w:r>
          </w:p>
        </w:tc>
      </w:tr>
    </w:tbl>
    <w:p w14:paraId="6A53513C" w14:textId="77777777" w:rsidR="00FC3CF6" w:rsidRDefault="00FC3CF6"/>
    <w:tbl>
      <w:tblPr>
        <w:tblStyle w:val="DefaultTable"/>
        <w:tblW w:w="5000" w:type="pct"/>
        <w:tblLook w:val="04A0" w:firstRow="1" w:lastRow="0" w:firstColumn="1" w:lastColumn="0" w:noHBand="0" w:noVBand="1"/>
      </w:tblPr>
      <w:tblGrid>
        <w:gridCol w:w="4819"/>
        <w:gridCol w:w="4819"/>
      </w:tblGrid>
      <w:tr w:rsidR="00FC3CF6" w14:paraId="3CC6E157" w14:textId="77777777" w:rsidTr="00FC3CF6">
        <w:trPr>
          <w:cnfStyle w:val="100000000000" w:firstRow="1" w:lastRow="0" w:firstColumn="0" w:lastColumn="0" w:oddVBand="0" w:evenVBand="0" w:oddHBand="0" w:evenHBand="0" w:firstRowFirstColumn="0" w:firstRowLastColumn="0" w:lastRowFirstColumn="0" w:lastRowLastColumn="0"/>
        </w:trPr>
        <w:tc>
          <w:tcPr>
            <w:tcW w:w="2500" w:type="pct"/>
          </w:tcPr>
          <w:p w14:paraId="19606741" w14:textId="77777777" w:rsidR="00FC3CF6" w:rsidRDefault="00F212D7">
            <w:r>
              <w:t>Pogoji za vključitev v delo oz. za opravljanje študijskih obveznosti:</w:t>
            </w:r>
          </w:p>
        </w:tc>
        <w:tc>
          <w:tcPr>
            <w:tcW w:w="2500" w:type="pct"/>
          </w:tcPr>
          <w:p w14:paraId="2265F724" w14:textId="77777777" w:rsidR="00FC3CF6" w:rsidRDefault="00F212D7">
            <w:r>
              <w:t>Prerequisites:</w:t>
            </w:r>
          </w:p>
        </w:tc>
      </w:tr>
      <w:tr w:rsidR="00FC3CF6" w14:paraId="4039F2AF" w14:textId="77777777">
        <w:tc>
          <w:tcPr>
            <w:tcW w:w="0" w:type="auto"/>
          </w:tcPr>
          <w:p w14:paraId="34BFA876" w14:textId="77777777" w:rsidR="00FC3CF6" w:rsidRDefault="00F212D7">
            <w:r>
              <w:t>Znanje volilnega prava na ravni univerzitetnega in magistrskega študija se predpostavlja.</w:t>
            </w:r>
          </w:p>
        </w:tc>
        <w:tc>
          <w:tcPr>
            <w:tcW w:w="0" w:type="auto"/>
          </w:tcPr>
          <w:p w14:paraId="37AE9940" w14:textId="77777777" w:rsidR="00FC3CF6" w:rsidRDefault="00F212D7">
            <w:r>
              <w:t>Knowledge of electoral law on the level of university and master studies is required.</w:t>
            </w:r>
          </w:p>
        </w:tc>
      </w:tr>
    </w:tbl>
    <w:p w14:paraId="0A1FF387" w14:textId="77777777" w:rsidR="00FC3CF6" w:rsidRDefault="00FC3CF6"/>
    <w:tbl>
      <w:tblPr>
        <w:tblStyle w:val="DefaultTable"/>
        <w:tblW w:w="5000" w:type="pct"/>
        <w:tblLook w:val="04A0" w:firstRow="1" w:lastRow="0" w:firstColumn="1" w:lastColumn="0" w:noHBand="0" w:noVBand="1"/>
      </w:tblPr>
      <w:tblGrid>
        <w:gridCol w:w="4819"/>
        <w:gridCol w:w="4819"/>
      </w:tblGrid>
      <w:tr w:rsidR="00FC3CF6" w14:paraId="29CCA3E8" w14:textId="77777777" w:rsidTr="00FC3CF6">
        <w:trPr>
          <w:cnfStyle w:val="100000000000" w:firstRow="1" w:lastRow="0" w:firstColumn="0" w:lastColumn="0" w:oddVBand="0" w:evenVBand="0" w:oddHBand="0" w:evenHBand="0" w:firstRowFirstColumn="0" w:firstRowLastColumn="0" w:lastRowFirstColumn="0" w:lastRowLastColumn="0"/>
        </w:trPr>
        <w:tc>
          <w:tcPr>
            <w:tcW w:w="2500" w:type="pct"/>
          </w:tcPr>
          <w:p w14:paraId="06CE2E41" w14:textId="77777777" w:rsidR="00FC3CF6" w:rsidRDefault="00F212D7">
            <w:r>
              <w:t>Vsebina:</w:t>
            </w:r>
          </w:p>
        </w:tc>
        <w:tc>
          <w:tcPr>
            <w:tcW w:w="2500" w:type="pct"/>
          </w:tcPr>
          <w:p w14:paraId="2ED12D89" w14:textId="77777777" w:rsidR="00FC3CF6" w:rsidRDefault="00F212D7">
            <w:r>
              <w:t>Content (Syllabus outline):</w:t>
            </w:r>
          </w:p>
        </w:tc>
      </w:tr>
      <w:tr w:rsidR="00FC3CF6" w14:paraId="29EE16C7" w14:textId="77777777">
        <w:tc>
          <w:tcPr>
            <w:tcW w:w="0" w:type="auto"/>
          </w:tcPr>
          <w:p w14:paraId="2AB8CB88" w14:textId="77777777" w:rsidR="00FC3CF6" w:rsidRDefault="00F212D7">
            <w:r>
              <w:t>Predmet obravnava ustavnopravno naravo volitev in volilne pravice, temeljna načela in izhodišča volilnih sistemov, volilne postopke in pravno varstvo volilne pravice, zlasti ustavnosodno varstvo.</w:t>
            </w:r>
          </w:p>
          <w:p w14:paraId="0E64E87E" w14:textId="77777777" w:rsidR="00FC3CF6" w:rsidRDefault="00F212D7">
            <w:r>
              <w:t>Študijski program se prilagaja aktualnim problemom z navedenih področij in razvoju novejše zakonodaje in sodne prakse.</w:t>
            </w:r>
          </w:p>
        </w:tc>
        <w:tc>
          <w:tcPr>
            <w:tcW w:w="0" w:type="auto"/>
          </w:tcPr>
          <w:p w14:paraId="5037D335" w14:textId="77777777" w:rsidR="00FC3CF6" w:rsidRDefault="00F212D7">
            <w:r>
              <w:t>The course deals with: constitutional matters of elections and the right to vote, basic principles and foundations of electoral systems, electoral procedures and legal protection of the right to vote, in particular the constitutional protection of rights.</w:t>
            </w:r>
          </w:p>
          <w:p w14:paraId="08AE8341" w14:textId="77777777" w:rsidR="00FC3CF6" w:rsidRDefault="00F212D7">
            <w:r>
              <w:t>Curriculum is adjusted to current issues in the mentioned fields and to the developments in contemporary legal systems and in practice.</w:t>
            </w:r>
          </w:p>
        </w:tc>
      </w:tr>
    </w:tbl>
    <w:p w14:paraId="2DEC92AE" w14:textId="77777777" w:rsidR="00FC3CF6" w:rsidRDefault="00FC3CF6"/>
    <w:tbl>
      <w:tblPr>
        <w:tblStyle w:val="DefaultTable"/>
        <w:tblW w:w="5000" w:type="pct"/>
        <w:tblLook w:val="04A0" w:firstRow="1" w:lastRow="0" w:firstColumn="1" w:lastColumn="0" w:noHBand="0" w:noVBand="1"/>
      </w:tblPr>
      <w:tblGrid>
        <w:gridCol w:w="9638"/>
      </w:tblGrid>
      <w:tr w:rsidR="00FC3CF6" w14:paraId="6387C3CA"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67C3F480" w14:textId="77777777" w:rsidR="00FC3CF6" w:rsidRDefault="00F212D7">
            <w:r>
              <w:t>Temeljna literatura in viri/Readings:</w:t>
            </w:r>
          </w:p>
        </w:tc>
      </w:tr>
      <w:tr w:rsidR="00FC3CF6" w14:paraId="3786EC25" w14:textId="77777777">
        <w:tc>
          <w:tcPr>
            <w:tcW w:w="0" w:type="auto"/>
          </w:tcPr>
          <w:p w14:paraId="6A6F0ECC" w14:textId="77777777" w:rsidR="00FC3CF6" w:rsidRDefault="00F212D7">
            <w:r>
              <w:t>Grad F.: Volitve in volilni sistem, Ljubljana 2004.</w:t>
            </w:r>
          </w:p>
          <w:p w14:paraId="41978FF6" w14:textId="77777777" w:rsidR="00FC3CF6" w:rsidRDefault="00F212D7">
            <w:r>
              <w:t>Nohlen D, Izborno pravo i stranački sustav, Zagreb 1992.</w:t>
            </w:r>
          </w:p>
          <w:p w14:paraId="6E7AA0C3" w14:textId="77777777" w:rsidR="00FC3CF6" w:rsidRDefault="00F212D7">
            <w:r>
              <w:t>Lakeman E., How democracies vote. A Study of Majority and Proportional Electoral Systems, London 1970.</w:t>
            </w:r>
          </w:p>
          <w:p w14:paraId="71765538" w14:textId="77777777" w:rsidR="00FC3CF6" w:rsidRDefault="00F212D7">
            <w:r>
              <w:t>W.J.M., Free Elections, George Allen&amp;Unwin Ltd, London 1958.</w:t>
            </w:r>
          </w:p>
          <w:p w14:paraId="63B03343" w14:textId="77777777" w:rsidR="00FC3CF6" w:rsidRDefault="00F212D7">
            <w:r>
              <w:t>Lanchester F., Sistemi elettorali e forma di governo, Bologna 1981.</w:t>
            </w:r>
          </w:p>
          <w:p w14:paraId="79AB7D29" w14:textId="77777777" w:rsidR="00FC3CF6" w:rsidRDefault="00F212D7">
            <w:r>
              <w:lastRenderedPageBreak/>
              <w:t>Lijphart A., Electoral Systems and Party Systems, New York 1994.</w:t>
            </w:r>
          </w:p>
          <w:p w14:paraId="42ED7658" w14:textId="77777777" w:rsidR="00FC3CF6" w:rsidRDefault="00F212D7">
            <w:r>
              <w:t>Sovdat J., Volilni spor, Ljubljana 2013.</w:t>
            </w:r>
          </w:p>
          <w:p w14:paraId="2AE1EFE7" w14:textId="77777777" w:rsidR="00FC3CF6" w:rsidRDefault="00F212D7">
            <w:r>
              <w:t>Grad F., Lokalna demokracija (organizacija in volitve), Ljubljana 1998.</w:t>
            </w:r>
          </w:p>
          <w:p w14:paraId="38BD33E8" w14:textId="77777777" w:rsidR="00FC3CF6" w:rsidRDefault="00F212D7">
            <w:r>
              <w:t xml:space="preserve">Grad F., Širitev volilne pravice. V: </w:t>
            </w:r>
            <w:r>
              <w:rPr>
                <w:i/>
              </w:rPr>
              <w:t>[XVI. dnevi javnega prava in javnega managementa : Portorož, 2.-3. junij 2010]</w:t>
            </w:r>
            <w:r>
              <w:t>, (Javna uprava, ISSN 1318-2277, Letn. 46, št. 1/2).</w:t>
            </w:r>
          </w:p>
          <w:p w14:paraId="4D7D0D98" w14:textId="77777777" w:rsidR="00FC3CF6" w:rsidRDefault="00F212D7">
            <w:r>
              <w:t>Zagorc S, Volilni sistem in delovanje parlamentarnega sistema. V: Dnevi slovenskih pravnikov 2011, Portorož (Podjetje in delo, Letn. 37, št. 6/7).</w:t>
            </w:r>
          </w:p>
          <w:p w14:paraId="517F508B" w14:textId="77777777" w:rsidR="00FC3CF6" w:rsidRDefault="00F212D7">
            <w:r>
              <w:t>ZAGORC, Saša. Omejitve pasivne volilne pravice na volitvah poslancev Državnega zbora. Zbornik znanstvenih razprav, 2006, letn. 66, str. 335-355.</w:t>
            </w:r>
          </w:p>
          <w:p w14:paraId="1C41B38C" w14:textId="77777777" w:rsidR="00FC3CF6" w:rsidRDefault="00F212D7">
            <w:r>
              <w:t xml:space="preserve">Grad F., Razsežnosti ustavne določitve volilnega sistema. V: </w:t>
            </w:r>
            <w:r>
              <w:rPr>
                <w:i/>
              </w:rPr>
              <w:t>Dnevi slovenskih pravnikov 2009 od 15. do 17. oktobra, Portorož</w:t>
            </w:r>
            <w:r>
              <w:t>, (Podjetje in delo, ISSN 0353-6521, Letn. 35, št. 6/7).</w:t>
            </w:r>
          </w:p>
          <w:p w14:paraId="1F91CD8A" w14:textId="77777777" w:rsidR="00FC3CF6" w:rsidRDefault="00F212D7">
            <w:r>
              <w:t>Nabor literature se vsako leto dopolni z aktualnimi deli s področja problemov, ki se obravnavajo.</w:t>
            </w:r>
          </w:p>
        </w:tc>
      </w:tr>
    </w:tbl>
    <w:p w14:paraId="4E1E0615" w14:textId="77777777" w:rsidR="00FC3CF6" w:rsidRDefault="00FC3CF6"/>
    <w:tbl>
      <w:tblPr>
        <w:tblStyle w:val="DefaultTable"/>
        <w:tblW w:w="5000" w:type="pct"/>
        <w:tblLook w:val="04A0" w:firstRow="1" w:lastRow="0" w:firstColumn="1" w:lastColumn="0" w:noHBand="0" w:noVBand="1"/>
      </w:tblPr>
      <w:tblGrid>
        <w:gridCol w:w="4819"/>
        <w:gridCol w:w="4819"/>
      </w:tblGrid>
      <w:tr w:rsidR="00FC3CF6" w14:paraId="07E6688E" w14:textId="77777777" w:rsidTr="00FC3CF6">
        <w:trPr>
          <w:cnfStyle w:val="100000000000" w:firstRow="1" w:lastRow="0" w:firstColumn="0" w:lastColumn="0" w:oddVBand="0" w:evenVBand="0" w:oddHBand="0" w:evenHBand="0" w:firstRowFirstColumn="0" w:firstRowLastColumn="0" w:lastRowFirstColumn="0" w:lastRowLastColumn="0"/>
        </w:trPr>
        <w:tc>
          <w:tcPr>
            <w:tcW w:w="2500" w:type="pct"/>
          </w:tcPr>
          <w:p w14:paraId="70DC27C5" w14:textId="77777777" w:rsidR="00FC3CF6" w:rsidRDefault="00F212D7">
            <w:r>
              <w:t>Cilji in kompetence:</w:t>
            </w:r>
          </w:p>
        </w:tc>
        <w:tc>
          <w:tcPr>
            <w:tcW w:w="2500" w:type="pct"/>
          </w:tcPr>
          <w:p w14:paraId="48EEB018" w14:textId="77777777" w:rsidR="00FC3CF6" w:rsidRDefault="00F212D7">
            <w:r>
              <w:t>Objectives and competences:</w:t>
            </w:r>
          </w:p>
        </w:tc>
      </w:tr>
      <w:tr w:rsidR="00FC3CF6" w14:paraId="7262F09D" w14:textId="77777777">
        <w:tc>
          <w:tcPr>
            <w:tcW w:w="0" w:type="auto"/>
          </w:tcPr>
          <w:p w14:paraId="2D45CF47" w14:textId="77777777" w:rsidR="00FC3CF6" w:rsidRDefault="00F212D7">
            <w:r>
              <w:t>Cilj predmeta je poglobljeno spoznavanje in analiza uresničevanja volilne pravice in njenega sodnega varstva, zlasti ustavnosodnega varstva tako na področju državnih volitev kot tudi glede evropskih volitev in lokalnih volitev.</w:t>
            </w:r>
          </w:p>
        </w:tc>
        <w:tc>
          <w:tcPr>
            <w:tcW w:w="0" w:type="auto"/>
          </w:tcPr>
          <w:p w14:paraId="6A2D9967" w14:textId="77777777" w:rsidR="00FC3CF6" w:rsidRDefault="00F212D7">
            <w:r>
              <w:t>The course aims at the in-depth study and analysis of the exercise of the right to vote and its judicial protection, in particular at the Constitutional Court not only state elections as well but also the European elections and local elections.</w:t>
            </w:r>
          </w:p>
        </w:tc>
      </w:tr>
    </w:tbl>
    <w:p w14:paraId="58B59BF6" w14:textId="77777777" w:rsidR="00FC3CF6" w:rsidRDefault="00FC3CF6"/>
    <w:tbl>
      <w:tblPr>
        <w:tblStyle w:val="DefaultTable"/>
        <w:tblW w:w="5000" w:type="pct"/>
        <w:tblLook w:val="04A0" w:firstRow="1" w:lastRow="0" w:firstColumn="1" w:lastColumn="0" w:noHBand="0" w:noVBand="1"/>
      </w:tblPr>
      <w:tblGrid>
        <w:gridCol w:w="4819"/>
        <w:gridCol w:w="4819"/>
      </w:tblGrid>
      <w:tr w:rsidR="00FC3CF6" w14:paraId="29ECD7E0" w14:textId="77777777" w:rsidTr="00FC3CF6">
        <w:trPr>
          <w:cnfStyle w:val="100000000000" w:firstRow="1" w:lastRow="0" w:firstColumn="0" w:lastColumn="0" w:oddVBand="0" w:evenVBand="0" w:oddHBand="0" w:evenHBand="0" w:firstRowFirstColumn="0" w:firstRowLastColumn="0" w:lastRowFirstColumn="0" w:lastRowLastColumn="0"/>
        </w:trPr>
        <w:tc>
          <w:tcPr>
            <w:tcW w:w="2500" w:type="pct"/>
          </w:tcPr>
          <w:p w14:paraId="4A2D1FFB" w14:textId="77777777" w:rsidR="00FC3CF6" w:rsidRDefault="00F212D7">
            <w:r>
              <w:t>Predvideni študijski rezultati:</w:t>
            </w:r>
          </w:p>
        </w:tc>
        <w:tc>
          <w:tcPr>
            <w:tcW w:w="2500" w:type="pct"/>
          </w:tcPr>
          <w:p w14:paraId="4030C470" w14:textId="77777777" w:rsidR="00FC3CF6" w:rsidRDefault="00F212D7">
            <w:r>
              <w:t>Intended learning outcomes:</w:t>
            </w:r>
          </w:p>
        </w:tc>
      </w:tr>
      <w:tr w:rsidR="00FC3CF6" w14:paraId="3762D231" w14:textId="77777777">
        <w:tc>
          <w:tcPr>
            <w:tcW w:w="0" w:type="auto"/>
          </w:tcPr>
          <w:p w14:paraId="7E228862" w14:textId="77777777" w:rsidR="00FC3CF6" w:rsidRDefault="00F212D7">
            <w:r>
              <w:t>Znanje in razumevanje:</w:t>
            </w:r>
          </w:p>
          <w:p w14:paraId="0DD719E8" w14:textId="77777777" w:rsidR="00FC3CF6" w:rsidRDefault="00F212D7">
            <w:r>
              <w:t>Študent pridobi sposobnost znanstvene analize problemov , vrednotenja različnih teoretičnih stališč, uporabo primerjalno pravne metode, kritične analize sodne prakse in pisnega oblikovanja zahtevnejše argumentacije.</w:t>
            </w:r>
          </w:p>
        </w:tc>
        <w:tc>
          <w:tcPr>
            <w:tcW w:w="0" w:type="auto"/>
          </w:tcPr>
          <w:p w14:paraId="100987F7" w14:textId="77777777" w:rsidR="00FC3CF6" w:rsidRDefault="00F212D7">
            <w:r>
              <w:t>Knowledge and understanding:</w:t>
            </w:r>
          </w:p>
          <w:p w14:paraId="58B1C86D" w14:textId="77777777" w:rsidR="00FC3CF6" w:rsidRDefault="00F212D7">
            <w:r>
              <w:t>Student acquires an ability of: a scientific analysis of selected institutions and topics of constitutional law, assessment of different theoretical positions, application of comparative legal method, critical analysis of court case-law and written formulation of exacting legal argumentation.</w:t>
            </w:r>
          </w:p>
        </w:tc>
      </w:tr>
    </w:tbl>
    <w:p w14:paraId="65267E69" w14:textId="77777777" w:rsidR="00FC3CF6" w:rsidRDefault="00FC3CF6"/>
    <w:tbl>
      <w:tblPr>
        <w:tblStyle w:val="DefaultTable"/>
        <w:tblW w:w="5000" w:type="pct"/>
        <w:tblLook w:val="04A0" w:firstRow="1" w:lastRow="0" w:firstColumn="1" w:lastColumn="0" w:noHBand="0" w:noVBand="1"/>
      </w:tblPr>
      <w:tblGrid>
        <w:gridCol w:w="4819"/>
        <w:gridCol w:w="4819"/>
      </w:tblGrid>
      <w:tr w:rsidR="00FC3CF6" w14:paraId="72B95D4E" w14:textId="77777777" w:rsidTr="00FC3CF6">
        <w:trPr>
          <w:cnfStyle w:val="100000000000" w:firstRow="1" w:lastRow="0" w:firstColumn="0" w:lastColumn="0" w:oddVBand="0" w:evenVBand="0" w:oddHBand="0" w:evenHBand="0" w:firstRowFirstColumn="0" w:firstRowLastColumn="0" w:lastRowFirstColumn="0" w:lastRowLastColumn="0"/>
        </w:trPr>
        <w:tc>
          <w:tcPr>
            <w:tcW w:w="2500" w:type="pct"/>
          </w:tcPr>
          <w:p w14:paraId="10CC6F78" w14:textId="77777777" w:rsidR="00FC3CF6" w:rsidRDefault="00F212D7">
            <w:r>
              <w:t>Metode poučevanja in učenja:</w:t>
            </w:r>
          </w:p>
        </w:tc>
        <w:tc>
          <w:tcPr>
            <w:tcW w:w="2500" w:type="pct"/>
          </w:tcPr>
          <w:p w14:paraId="0DDD0299" w14:textId="77777777" w:rsidR="00FC3CF6" w:rsidRDefault="00F212D7">
            <w:r>
              <w:t>Learning and teaching methods:</w:t>
            </w:r>
          </w:p>
        </w:tc>
      </w:tr>
      <w:tr w:rsidR="00FC3CF6" w14:paraId="0057A944" w14:textId="77777777">
        <w:tc>
          <w:tcPr>
            <w:tcW w:w="0" w:type="auto"/>
          </w:tcPr>
          <w:p w14:paraId="4C3D5C3E" w14:textId="77777777" w:rsidR="00FC3CF6" w:rsidRDefault="00F212D7">
            <w:r>
              <w:t>Predavanja – predavajo se izbrane teme, ki se določijo posebej glede na razvoj teorije, zakonodaje in sodne prakse.</w:t>
            </w:r>
          </w:p>
          <w:p w14:paraId="6908875E" w14:textId="77777777" w:rsidR="00FC3CF6" w:rsidRDefault="00F212D7">
            <w:r>
              <w:t>Seminarske vaje – na seminarskih vajah študentje predstavijo vsebino seminarske naloge</w:t>
            </w:r>
          </w:p>
          <w:p w14:paraId="073E20FB" w14:textId="77777777" w:rsidR="00FC3CF6" w:rsidRDefault="00F212D7">
            <w:r>
              <w:t>Drugo – izdelava seminarske naloge, ki obravnava zahtevnejši pravni problem z navedenih področij.</w:t>
            </w:r>
          </w:p>
          <w:p w14:paraId="7583EC03" w14:textId="77777777" w:rsidR="00FC3CF6" w:rsidRDefault="00F212D7">
            <w:r>
              <w:t>Individualni študij za izpit.</w:t>
            </w:r>
          </w:p>
        </w:tc>
        <w:tc>
          <w:tcPr>
            <w:tcW w:w="0" w:type="auto"/>
          </w:tcPr>
          <w:p w14:paraId="61021D15" w14:textId="77777777" w:rsidR="00FC3CF6" w:rsidRDefault="00F212D7">
            <w:r>
              <w:t>Lectures – selected themes, determined by taking into account theoretical and normative developments and evolution of case-law, are discussed.</w:t>
            </w:r>
          </w:p>
          <w:p w14:paraId="2922A159" w14:textId="77777777" w:rsidR="00FC3CF6" w:rsidRDefault="00F212D7">
            <w:r>
              <w:t>Seminars – students present a seminar paper.</w:t>
            </w:r>
          </w:p>
          <w:p w14:paraId="30948A55" w14:textId="77777777" w:rsidR="00FC3CF6" w:rsidRDefault="00F212D7">
            <w:r>
              <w:t>Other – preparation of an extensive seminar paper on an exacting issue in the field of constitutional law.</w:t>
            </w:r>
          </w:p>
          <w:p w14:paraId="4D8B9ECB" w14:textId="77777777" w:rsidR="00FC3CF6" w:rsidRDefault="00F212D7">
            <w:r>
              <w:t>Individual studying and preparation for the exam.</w:t>
            </w:r>
          </w:p>
        </w:tc>
      </w:tr>
    </w:tbl>
    <w:p w14:paraId="3E054F2C" w14:textId="77777777" w:rsidR="00FC3CF6" w:rsidRDefault="00FC3CF6"/>
    <w:tbl>
      <w:tblPr>
        <w:tblStyle w:val="DefaultTable"/>
        <w:tblW w:w="5000" w:type="pct"/>
        <w:tblLook w:val="04A0" w:firstRow="1" w:lastRow="0" w:firstColumn="1" w:lastColumn="0" w:noHBand="0" w:noVBand="1"/>
      </w:tblPr>
      <w:tblGrid>
        <w:gridCol w:w="4045"/>
        <w:gridCol w:w="1548"/>
        <w:gridCol w:w="4045"/>
      </w:tblGrid>
      <w:tr w:rsidR="00FC3CF6" w14:paraId="36EC27A7" w14:textId="77777777" w:rsidTr="00FC3CF6">
        <w:trPr>
          <w:cnfStyle w:val="100000000000" w:firstRow="1" w:lastRow="0" w:firstColumn="0" w:lastColumn="0" w:oddVBand="0" w:evenVBand="0" w:oddHBand="0" w:evenHBand="0" w:firstRowFirstColumn="0" w:firstRowLastColumn="0" w:lastRowFirstColumn="0" w:lastRowLastColumn="0"/>
        </w:trPr>
        <w:tc>
          <w:tcPr>
            <w:tcW w:w="2200" w:type="pct"/>
          </w:tcPr>
          <w:p w14:paraId="6CBB3109" w14:textId="77777777" w:rsidR="00FC3CF6" w:rsidRDefault="00F212D7">
            <w:r>
              <w:t>Načini ocenjevanja:</w:t>
            </w:r>
          </w:p>
        </w:tc>
        <w:tc>
          <w:tcPr>
            <w:tcW w:w="600" w:type="pct"/>
          </w:tcPr>
          <w:p w14:paraId="64551DA1" w14:textId="77777777" w:rsidR="00FC3CF6" w:rsidRDefault="00F212D7">
            <w:pPr>
              <w:keepNext/>
              <w:jc w:val="center"/>
            </w:pPr>
            <w:r>
              <w:t>Delež/Weight</w:t>
            </w:r>
          </w:p>
        </w:tc>
        <w:tc>
          <w:tcPr>
            <w:tcW w:w="2200" w:type="pct"/>
          </w:tcPr>
          <w:p w14:paraId="305E90F7" w14:textId="77777777" w:rsidR="00FC3CF6" w:rsidRDefault="00F212D7">
            <w:r>
              <w:t>Assessment:</w:t>
            </w:r>
          </w:p>
        </w:tc>
      </w:tr>
      <w:tr w:rsidR="00FC3CF6" w14:paraId="1D18CABF" w14:textId="77777777">
        <w:tc>
          <w:tcPr>
            <w:tcW w:w="0" w:type="auto"/>
          </w:tcPr>
          <w:p w14:paraId="1CB9F5EE" w14:textId="77777777" w:rsidR="00FC3CF6" w:rsidRDefault="00F212D7">
            <w:r>
              <w:t>Ustni izpit. Za pristop k izpitu se zahteva uspešno izdelana in predstavljena seminarska naloga. Predstavitev se lahko opravi na seminarskih vajah ali pred učiteljem ocenjevalcem.</w:t>
            </w:r>
          </w:p>
        </w:tc>
        <w:tc>
          <w:tcPr>
            <w:tcW w:w="0" w:type="auto"/>
          </w:tcPr>
          <w:p w14:paraId="251C7125" w14:textId="77777777" w:rsidR="00FC3CF6" w:rsidRDefault="00F212D7">
            <w:pPr>
              <w:keepNext/>
              <w:jc w:val="center"/>
            </w:pPr>
            <w:r>
              <w:t>100,00 %</w:t>
            </w:r>
          </w:p>
        </w:tc>
        <w:tc>
          <w:tcPr>
            <w:tcW w:w="0" w:type="auto"/>
          </w:tcPr>
          <w:p w14:paraId="4F2D6F6F" w14:textId="77777777" w:rsidR="00FC3CF6" w:rsidRDefault="00F212D7">
            <w:r>
              <w:t>Type (examination, oral, coursework, project): Oral exam. To access the exam, a successfully prepared and presented seminar paper is required. Student may present it at the seminars or before the assessing professor.</w:t>
            </w:r>
          </w:p>
        </w:tc>
      </w:tr>
    </w:tbl>
    <w:p w14:paraId="5B26B78F" w14:textId="77777777" w:rsidR="00FC3CF6" w:rsidRDefault="00FC3CF6"/>
    <w:tbl>
      <w:tblPr>
        <w:tblStyle w:val="DefaultTable"/>
        <w:tblW w:w="5000" w:type="pct"/>
        <w:tblLook w:val="04A0" w:firstRow="1" w:lastRow="0" w:firstColumn="1" w:lastColumn="0" w:noHBand="0" w:noVBand="1"/>
      </w:tblPr>
      <w:tblGrid>
        <w:gridCol w:w="4819"/>
        <w:gridCol w:w="4819"/>
      </w:tblGrid>
      <w:tr w:rsidR="00FC3CF6" w14:paraId="401DB34B" w14:textId="77777777" w:rsidTr="00FC3CF6">
        <w:trPr>
          <w:cnfStyle w:val="100000000000" w:firstRow="1" w:lastRow="0" w:firstColumn="0" w:lastColumn="0" w:oddVBand="0" w:evenVBand="0" w:oddHBand="0" w:evenHBand="0" w:firstRowFirstColumn="0" w:firstRowLastColumn="0" w:lastRowFirstColumn="0" w:lastRowLastColumn="0"/>
        </w:trPr>
        <w:tc>
          <w:tcPr>
            <w:tcW w:w="2500" w:type="pct"/>
          </w:tcPr>
          <w:p w14:paraId="775CCF4C" w14:textId="77777777" w:rsidR="00FC3CF6" w:rsidRDefault="00F212D7">
            <w:r>
              <w:t>Ocenjevalna lestvica:</w:t>
            </w:r>
          </w:p>
        </w:tc>
        <w:tc>
          <w:tcPr>
            <w:tcW w:w="2500" w:type="pct"/>
          </w:tcPr>
          <w:p w14:paraId="3E899B75" w14:textId="77777777" w:rsidR="00FC3CF6" w:rsidRDefault="00F212D7">
            <w:r>
              <w:t>Grading system:</w:t>
            </w:r>
          </w:p>
        </w:tc>
      </w:tr>
      <w:tr w:rsidR="00FC3CF6" w14:paraId="6A969797" w14:textId="77777777">
        <w:tc>
          <w:tcPr>
            <w:tcW w:w="0" w:type="auto"/>
          </w:tcPr>
          <w:p w14:paraId="4E740B47" w14:textId="77777777" w:rsidR="00FC3CF6" w:rsidRDefault="00FC3CF6"/>
        </w:tc>
        <w:tc>
          <w:tcPr>
            <w:tcW w:w="0" w:type="auto"/>
          </w:tcPr>
          <w:p w14:paraId="54E18420" w14:textId="77777777" w:rsidR="00FC3CF6" w:rsidRDefault="00FC3CF6"/>
        </w:tc>
      </w:tr>
    </w:tbl>
    <w:p w14:paraId="2E425F23" w14:textId="77777777" w:rsidR="00FC3CF6" w:rsidRDefault="00FC3CF6"/>
    <w:tbl>
      <w:tblPr>
        <w:tblStyle w:val="DefaultTable"/>
        <w:tblW w:w="5000" w:type="pct"/>
        <w:tblLook w:val="04A0" w:firstRow="1" w:lastRow="0" w:firstColumn="1" w:lastColumn="0" w:noHBand="0" w:noVBand="1"/>
      </w:tblPr>
      <w:tblGrid>
        <w:gridCol w:w="9638"/>
      </w:tblGrid>
      <w:tr w:rsidR="00FC3CF6" w14:paraId="51A45DDB" w14:textId="77777777">
        <w:trPr>
          <w:cnfStyle w:val="100000000000" w:firstRow="1" w:lastRow="0" w:firstColumn="0" w:lastColumn="0" w:oddVBand="0" w:evenVBand="0" w:oddHBand="0" w:evenHBand="0" w:firstRowFirstColumn="0" w:firstRowLastColumn="0" w:lastRowFirstColumn="0" w:lastRowLastColumn="0"/>
        </w:trPr>
        <w:tc>
          <w:tcPr>
            <w:tcW w:w="0" w:type="auto"/>
          </w:tcPr>
          <w:p w14:paraId="43488F0A" w14:textId="77777777" w:rsidR="00FC3CF6" w:rsidRDefault="00F212D7">
            <w:r>
              <w:t>Reference nosilca/Lecturer's references:</w:t>
            </w:r>
          </w:p>
        </w:tc>
      </w:tr>
      <w:tr w:rsidR="00FC3CF6" w14:paraId="51FEEA62" w14:textId="77777777">
        <w:tc>
          <w:tcPr>
            <w:tcW w:w="0" w:type="auto"/>
          </w:tcPr>
          <w:p w14:paraId="29B171A1" w14:textId="77777777" w:rsidR="00FC3CF6" w:rsidRDefault="00F212D7">
            <w:r>
              <w:t>ZAGORC, Saša. Volilni sistem in delovanje parlamentarnega sistema. V: Dnevi slovenskih pravnikov 2011 od 13. do 15.</w:t>
            </w:r>
          </w:p>
          <w:p w14:paraId="1760E384" w14:textId="77777777" w:rsidR="00FC3CF6" w:rsidRDefault="00F212D7">
            <w:r>
              <w:lastRenderedPageBreak/>
              <w:t>oktobra, Portorož, (Podjetje in delo, Letn. 37, št. 6/7). Ljubljana: GV Založba, 2011, 37, [št.] 6/7, str. 1067-1077.</w:t>
            </w:r>
          </w:p>
          <w:p w14:paraId="7B04F100" w14:textId="77777777" w:rsidR="00FC3CF6" w:rsidRDefault="00F212D7">
            <w:r>
              <w:t>ZAGORC, Saša, ŠTRUS, Dušan. Ohlapna in nedosledna ureditev volitev v državni svet. Zbornik znanstvenih razprav, letn. 70, str. 285-314.</w:t>
            </w:r>
          </w:p>
          <w:p w14:paraId="079E9A18" w14:textId="77777777" w:rsidR="00FC3CF6" w:rsidRDefault="00F212D7">
            <w:r>
              <w:t>ZAGORC, Saša, TOPLAK, Jurij. Kandidiranje na lokalnih volitvah : pomanjkanje demokratičnega občutka v ZLV-F. Lex localis, 2006, let. 4, št. 2, str. 89-107.</w:t>
            </w:r>
          </w:p>
          <w:p w14:paraId="6A8A3F64" w14:textId="77777777" w:rsidR="00FC3CF6" w:rsidRDefault="00F212D7">
            <w:r>
              <w:t>ZAGORC, Saša. Omejitve pasivne volilne pravice na volitvah poslancev Državnega zbora. Zbornik znanstvenih razprav, 2006, letn. 66, str. 335-355.</w:t>
            </w:r>
          </w:p>
          <w:p w14:paraId="54AED3C4" w14:textId="77777777" w:rsidR="00FC3CF6" w:rsidRDefault="00F212D7">
            <w:r>
              <w:t>ZAGORC, Saša. Uresničevanje volilne pravice v tujini. V: [XIV. dnevi javnega prava in javnega managementa, Portorož, 4-6, junij 2008], (Javna uprava, Letn. 44, št. 1). Ljubljana: Institut za javno upravo pri Pravni fakulteti v Ljubljani, 2008, str. 127-147.</w:t>
            </w:r>
          </w:p>
        </w:tc>
      </w:tr>
    </w:tbl>
    <w:p w14:paraId="3B7285D2" w14:textId="77777777" w:rsidR="00F212D7" w:rsidRDefault="00F212D7"/>
    <w:sectPr w:rsidR="00000000" w:rsidSect="00336864">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EE"/>
    <w:family w:val="roman"/>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efaultTableStyle w:val="PlainTable"/>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5EB"/>
    <w:rsid w:val="000401B9"/>
    <w:rsid w:val="00090302"/>
    <w:rsid w:val="000D7E81"/>
    <w:rsid w:val="001402F8"/>
    <w:rsid w:val="00161343"/>
    <w:rsid w:val="002116B5"/>
    <w:rsid w:val="00241413"/>
    <w:rsid w:val="0028541B"/>
    <w:rsid w:val="002B7CE7"/>
    <w:rsid w:val="002E15C9"/>
    <w:rsid w:val="00336864"/>
    <w:rsid w:val="003B6369"/>
    <w:rsid w:val="00434998"/>
    <w:rsid w:val="004350FB"/>
    <w:rsid w:val="004447FF"/>
    <w:rsid w:val="0049772F"/>
    <w:rsid w:val="004E3BCD"/>
    <w:rsid w:val="00553CDF"/>
    <w:rsid w:val="005C2560"/>
    <w:rsid w:val="005D1C50"/>
    <w:rsid w:val="00601559"/>
    <w:rsid w:val="00615EA0"/>
    <w:rsid w:val="006345EB"/>
    <w:rsid w:val="0069778E"/>
    <w:rsid w:val="00752599"/>
    <w:rsid w:val="00762C94"/>
    <w:rsid w:val="007720CE"/>
    <w:rsid w:val="007E45C0"/>
    <w:rsid w:val="00815C9A"/>
    <w:rsid w:val="00832376"/>
    <w:rsid w:val="0085648F"/>
    <w:rsid w:val="00895D99"/>
    <w:rsid w:val="008B7D52"/>
    <w:rsid w:val="008C5984"/>
    <w:rsid w:val="008D2254"/>
    <w:rsid w:val="008D55C1"/>
    <w:rsid w:val="008F361E"/>
    <w:rsid w:val="00901C23"/>
    <w:rsid w:val="00912701"/>
    <w:rsid w:val="009834EA"/>
    <w:rsid w:val="00993DFA"/>
    <w:rsid w:val="009B765E"/>
    <w:rsid w:val="00A04B24"/>
    <w:rsid w:val="00A42E40"/>
    <w:rsid w:val="00A458AB"/>
    <w:rsid w:val="00AA0A0F"/>
    <w:rsid w:val="00AD6198"/>
    <w:rsid w:val="00B13427"/>
    <w:rsid w:val="00B41EA5"/>
    <w:rsid w:val="00B959B9"/>
    <w:rsid w:val="00BA4AE7"/>
    <w:rsid w:val="00BD197C"/>
    <w:rsid w:val="00BD2556"/>
    <w:rsid w:val="00BD7F5C"/>
    <w:rsid w:val="00BF33AC"/>
    <w:rsid w:val="00C407B2"/>
    <w:rsid w:val="00C716FC"/>
    <w:rsid w:val="00CE5856"/>
    <w:rsid w:val="00D25C88"/>
    <w:rsid w:val="00DC7D1B"/>
    <w:rsid w:val="00DD5004"/>
    <w:rsid w:val="00E32890"/>
    <w:rsid w:val="00EF57B9"/>
    <w:rsid w:val="00F1347F"/>
    <w:rsid w:val="00F212D7"/>
    <w:rsid w:val="00F71EF5"/>
    <w:rsid w:val="00F841BC"/>
    <w:rsid w:val="00FC3CF6"/>
  </w:rsids>
  <m:mathPr>
    <m:mathFont m:val="Cambria Math"/>
    <m:brkBin m:val="before"/>
    <m:brkBinSub m:val="--"/>
    <m:smallFrac m:val="0"/>
    <m:dispDef/>
    <m:lMargin m:val="0"/>
    <m:rMargin m:val="0"/>
    <m:defJc m:val="centerGroup"/>
    <m:wrapIndent m:val="1440"/>
    <m:intLim m:val="subSup"/>
    <m:naryLim m:val="undOvr"/>
  </m:mathPr>
  <w:themeFontLang w:val="sl-SI"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738448"/>
  <w15:chartTrackingRefBased/>
  <w15:docId w15:val="{A8D5C3DD-2D20-402D-993E-B62B1F9B2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sl-SI" w:eastAsia="ja-JP"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aliases w:val="normal"/>
    <w:qFormat/>
    <w:rsid w:val="002E15C9"/>
    <w:rPr>
      <w:rFonts w:ascii="Garamond" w:hAnsi="Garamond"/>
      <w:sz w:val="22"/>
    </w:rPr>
  </w:style>
  <w:style w:type="paragraph" w:styleId="Naslov1">
    <w:name w:val="heading 1"/>
    <w:aliases w:val="heading 1"/>
    <w:basedOn w:val="Navaden"/>
    <w:next w:val="Navaden"/>
    <w:link w:val="Naslov1Znak"/>
    <w:uiPriority w:val="9"/>
    <w:qFormat/>
    <w:rsid w:val="00895D99"/>
    <w:pPr>
      <w:keepNext/>
      <w:keepLines/>
      <w:pBdr>
        <w:top w:val="single" w:sz="4" w:space="1" w:color="auto"/>
        <w:left w:val="single" w:sz="4" w:space="4" w:color="auto"/>
        <w:bottom w:val="single" w:sz="4" w:space="1" w:color="auto"/>
        <w:right w:val="single" w:sz="4" w:space="4" w:color="auto"/>
      </w:pBdr>
      <w:spacing w:before="320" w:after="0" w:line="240" w:lineRule="auto"/>
      <w:jc w:val="center"/>
      <w:outlineLvl w:val="0"/>
    </w:pPr>
    <w:rPr>
      <w:rFonts w:eastAsiaTheme="majorEastAsia" w:cstheme="majorBidi"/>
      <w:caps/>
      <w:color w:val="7B230B" w:themeColor="accent1" w:themeShade="BF"/>
      <w:sz w:val="32"/>
      <w:szCs w:val="32"/>
    </w:rPr>
  </w:style>
  <w:style w:type="paragraph" w:styleId="Naslov2">
    <w:name w:val="heading 2"/>
    <w:aliases w:val="heading 2"/>
    <w:basedOn w:val="Navaden"/>
    <w:next w:val="Navaden"/>
    <w:link w:val="Naslov2Znak"/>
    <w:uiPriority w:val="9"/>
    <w:unhideWhenUsed/>
    <w:qFormat/>
    <w:rsid w:val="00F1347F"/>
    <w:pPr>
      <w:keepNext/>
      <w:keepLines/>
      <w:spacing w:before="80" w:after="0" w:line="240" w:lineRule="auto"/>
      <w:outlineLvl w:val="1"/>
    </w:pPr>
    <w:rPr>
      <w:rFonts w:eastAsiaTheme="majorEastAsia" w:cstheme="majorBidi"/>
      <w:color w:val="404040" w:themeColor="text1" w:themeTint="BF"/>
      <w:sz w:val="28"/>
      <w:szCs w:val="28"/>
    </w:rPr>
  </w:style>
  <w:style w:type="paragraph" w:styleId="Naslov3">
    <w:name w:val="heading 3"/>
    <w:aliases w:val="heading 3"/>
    <w:basedOn w:val="Navaden"/>
    <w:next w:val="Navaden"/>
    <w:link w:val="Naslov3Znak"/>
    <w:uiPriority w:val="9"/>
    <w:unhideWhenUsed/>
    <w:qFormat/>
    <w:rsid w:val="00F1347F"/>
    <w:pPr>
      <w:keepNext/>
      <w:keepLines/>
      <w:spacing w:before="40" w:after="0" w:line="240" w:lineRule="auto"/>
      <w:outlineLvl w:val="2"/>
    </w:pPr>
    <w:rPr>
      <w:rFonts w:eastAsiaTheme="majorEastAsia" w:cstheme="majorBidi"/>
      <w:color w:val="323232" w:themeColor="text2"/>
      <w:sz w:val="24"/>
      <w:szCs w:val="24"/>
    </w:rPr>
  </w:style>
  <w:style w:type="paragraph" w:styleId="Naslov4">
    <w:name w:val="heading 4"/>
    <w:aliases w:val="heading 4"/>
    <w:basedOn w:val="Navaden"/>
    <w:next w:val="Navaden"/>
    <w:link w:val="Naslov4Znak"/>
    <w:uiPriority w:val="9"/>
    <w:unhideWhenUsed/>
    <w:qFormat/>
    <w:rsid w:val="00F1347F"/>
    <w:pPr>
      <w:keepNext/>
      <w:keepLines/>
      <w:spacing w:before="40" w:after="0"/>
      <w:outlineLvl w:val="3"/>
    </w:pPr>
    <w:rPr>
      <w:rFonts w:eastAsiaTheme="majorEastAsia" w:cstheme="majorBidi"/>
      <w:szCs w:val="22"/>
    </w:rPr>
  </w:style>
  <w:style w:type="paragraph" w:styleId="Naslov5">
    <w:name w:val="heading 5"/>
    <w:aliases w:val="heading 5"/>
    <w:basedOn w:val="Navaden"/>
    <w:next w:val="Navaden"/>
    <w:link w:val="Naslov5Znak"/>
    <w:uiPriority w:val="9"/>
    <w:unhideWhenUsed/>
    <w:qFormat/>
    <w:rsid w:val="00F1347F"/>
    <w:pPr>
      <w:keepNext/>
      <w:keepLines/>
      <w:spacing w:before="40" w:after="0"/>
      <w:outlineLvl w:val="4"/>
    </w:pPr>
    <w:rPr>
      <w:rFonts w:eastAsiaTheme="majorEastAsia" w:cstheme="majorBidi"/>
      <w:color w:val="323232" w:themeColor="text2"/>
      <w:szCs w:val="22"/>
    </w:rPr>
  </w:style>
  <w:style w:type="paragraph" w:styleId="Naslov6">
    <w:name w:val="heading 6"/>
    <w:aliases w:val="heading 6"/>
    <w:basedOn w:val="Navaden"/>
    <w:next w:val="Navaden"/>
    <w:link w:val="Naslov6Znak"/>
    <w:uiPriority w:val="9"/>
    <w:unhideWhenUsed/>
    <w:qFormat/>
    <w:rsid w:val="00F1347F"/>
    <w:pPr>
      <w:keepNext/>
      <w:keepLines/>
      <w:spacing w:before="40" w:after="0"/>
      <w:outlineLvl w:val="5"/>
    </w:pPr>
    <w:rPr>
      <w:rFonts w:eastAsiaTheme="majorEastAsia" w:cstheme="majorBidi"/>
      <w:i/>
      <w:iCs/>
      <w:color w:val="323232" w:themeColor="text2"/>
      <w:sz w:val="21"/>
      <w:szCs w:val="21"/>
    </w:rPr>
  </w:style>
  <w:style w:type="paragraph" w:styleId="Naslov7">
    <w:name w:val="heading 7"/>
    <w:basedOn w:val="Navaden"/>
    <w:next w:val="Navaden"/>
    <w:link w:val="Naslov7Znak"/>
    <w:uiPriority w:val="9"/>
    <w:semiHidden/>
    <w:unhideWhenUsed/>
    <w:qFormat/>
    <w:rsid w:val="002116B5"/>
    <w:pPr>
      <w:keepNext/>
      <w:keepLines/>
      <w:spacing w:before="40" w:after="0"/>
      <w:outlineLvl w:val="6"/>
    </w:pPr>
    <w:rPr>
      <w:rFonts w:asciiTheme="majorHAnsi" w:eastAsiaTheme="majorEastAsia" w:hAnsiTheme="majorHAnsi" w:cstheme="majorBidi"/>
      <w:i/>
      <w:iCs/>
      <w:color w:val="521807" w:themeColor="accent1" w:themeShade="80"/>
      <w:sz w:val="21"/>
      <w:szCs w:val="21"/>
    </w:rPr>
  </w:style>
  <w:style w:type="paragraph" w:styleId="Naslov8">
    <w:name w:val="heading 8"/>
    <w:basedOn w:val="Navaden"/>
    <w:next w:val="Navaden"/>
    <w:link w:val="Naslov8Znak"/>
    <w:uiPriority w:val="9"/>
    <w:semiHidden/>
    <w:unhideWhenUsed/>
    <w:qFormat/>
    <w:rsid w:val="002116B5"/>
    <w:pPr>
      <w:keepNext/>
      <w:keepLines/>
      <w:spacing w:before="40" w:after="0"/>
      <w:outlineLvl w:val="7"/>
    </w:pPr>
    <w:rPr>
      <w:rFonts w:asciiTheme="majorHAnsi" w:eastAsiaTheme="majorEastAsia" w:hAnsiTheme="majorHAnsi" w:cstheme="majorBidi"/>
      <w:b/>
      <w:bCs/>
      <w:color w:val="323232" w:themeColor="text2"/>
    </w:rPr>
  </w:style>
  <w:style w:type="paragraph" w:styleId="Naslov9">
    <w:name w:val="heading 9"/>
    <w:basedOn w:val="Navaden"/>
    <w:next w:val="Navaden"/>
    <w:link w:val="Naslov9Znak"/>
    <w:uiPriority w:val="9"/>
    <w:semiHidden/>
    <w:unhideWhenUsed/>
    <w:qFormat/>
    <w:rsid w:val="002116B5"/>
    <w:pPr>
      <w:keepNext/>
      <w:keepLines/>
      <w:spacing w:before="40" w:after="0"/>
      <w:outlineLvl w:val="8"/>
    </w:pPr>
    <w:rPr>
      <w:rFonts w:asciiTheme="majorHAnsi" w:eastAsiaTheme="majorEastAsia" w:hAnsiTheme="majorHAnsi" w:cstheme="majorBidi"/>
      <w:b/>
      <w:bCs/>
      <w:i/>
      <w:iCs/>
      <w:color w:val="323232" w:themeColor="text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Naslov1Znak">
    <w:name w:val="Naslov 1 Znak"/>
    <w:aliases w:val="heading 1 Znak"/>
    <w:basedOn w:val="Privzetapisavaodstavka"/>
    <w:link w:val="Naslov1"/>
    <w:uiPriority w:val="9"/>
    <w:rsid w:val="00895D99"/>
    <w:rPr>
      <w:rFonts w:eastAsiaTheme="majorEastAsia" w:cstheme="majorBidi"/>
      <w:caps/>
      <w:color w:val="7B230B" w:themeColor="accent1" w:themeShade="BF"/>
      <w:sz w:val="32"/>
      <w:szCs w:val="32"/>
    </w:rPr>
  </w:style>
  <w:style w:type="character" w:customStyle="1" w:styleId="Naslov2Znak">
    <w:name w:val="Naslov 2 Znak"/>
    <w:aliases w:val="heading 2 Znak"/>
    <w:basedOn w:val="Privzetapisavaodstavka"/>
    <w:link w:val="Naslov2"/>
    <w:uiPriority w:val="9"/>
    <w:rsid w:val="00F1347F"/>
    <w:rPr>
      <w:rFonts w:ascii="Arial" w:eastAsiaTheme="majorEastAsia" w:hAnsi="Arial" w:cstheme="majorBidi"/>
      <w:color w:val="404040" w:themeColor="text1" w:themeTint="BF"/>
      <w:sz w:val="28"/>
      <w:szCs w:val="28"/>
    </w:rPr>
  </w:style>
  <w:style w:type="character" w:customStyle="1" w:styleId="Naslov3Znak">
    <w:name w:val="Naslov 3 Znak"/>
    <w:aliases w:val="heading 3 Znak"/>
    <w:basedOn w:val="Privzetapisavaodstavka"/>
    <w:link w:val="Naslov3"/>
    <w:uiPriority w:val="9"/>
    <w:rsid w:val="00F1347F"/>
    <w:rPr>
      <w:rFonts w:ascii="Arial" w:eastAsiaTheme="majorEastAsia" w:hAnsi="Arial" w:cstheme="majorBidi"/>
      <w:color w:val="323232" w:themeColor="text2"/>
      <w:sz w:val="24"/>
      <w:szCs w:val="24"/>
    </w:rPr>
  </w:style>
  <w:style w:type="character" w:customStyle="1" w:styleId="Naslov4Znak">
    <w:name w:val="Naslov 4 Znak"/>
    <w:aliases w:val="heading 4 Znak"/>
    <w:basedOn w:val="Privzetapisavaodstavka"/>
    <w:link w:val="Naslov4"/>
    <w:uiPriority w:val="9"/>
    <w:rsid w:val="00F1347F"/>
    <w:rPr>
      <w:rFonts w:ascii="Arial" w:eastAsiaTheme="majorEastAsia" w:hAnsi="Arial" w:cstheme="majorBidi"/>
      <w:sz w:val="22"/>
      <w:szCs w:val="22"/>
    </w:rPr>
  </w:style>
  <w:style w:type="character" w:customStyle="1" w:styleId="Naslov5Znak">
    <w:name w:val="Naslov 5 Znak"/>
    <w:aliases w:val="heading 5 Znak"/>
    <w:basedOn w:val="Privzetapisavaodstavka"/>
    <w:link w:val="Naslov5"/>
    <w:uiPriority w:val="9"/>
    <w:rsid w:val="00F1347F"/>
    <w:rPr>
      <w:rFonts w:ascii="Arial" w:eastAsiaTheme="majorEastAsia" w:hAnsi="Arial" w:cstheme="majorBidi"/>
      <w:color w:val="323232" w:themeColor="text2"/>
      <w:sz w:val="22"/>
      <w:szCs w:val="22"/>
    </w:rPr>
  </w:style>
  <w:style w:type="character" w:customStyle="1" w:styleId="Naslov6Znak">
    <w:name w:val="Naslov 6 Znak"/>
    <w:aliases w:val="heading 6 Znak"/>
    <w:basedOn w:val="Privzetapisavaodstavka"/>
    <w:link w:val="Naslov6"/>
    <w:uiPriority w:val="9"/>
    <w:rsid w:val="00F1347F"/>
    <w:rPr>
      <w:rFonts w:ascii="Arial" w:eastAsiaTheme="majorEastAsia" w:hAnsi="Arial" w:cstheme="majorBidi"/>
      <w:i/>
      <w:iCs/>
      <w:color w:val="323232" w:themeColor="text2"/>
      <w:sz w:val="21"/>
      <w:szCs w:val="21"/>
    </w:rPr>
  </w:style>
  <w:style w:type="character" w:customStyle="1" w:styleId="Naslov7Znak">
    <w:name w:val="Naslov 7 Znak"/>
    <w:basedOn w:val="Privzetapisavaodstavka"/>
    <w:link w:val="Naslov7"/>
    <w:uiPriority w:val="9"/>
    <w:semiHidden/>
    <w:rsid w:val="002116B5"/>
    <w:rPr>
      <w:rFonts w:asciiTheme="majorHAnsi" w:eastAsiaTheme="majorEastAsia" w:hAnsiTheme="majorHAnsi" w:cstheme="majorBidi"/>
      <w:i/>
      <w:iCs/>
      <w:color w:val="521807" w:themeColor="accent1" w:themeShade="80"/>
      <w:sz w:val="21"/>
      <w:szCs w:val="21"/>
    </w:rPr>
  </w:style>
  <w:style w:type="character" w:customStyle="1" w:styleId="Naslov8Znak">
    <w:name w:val="Naslov 8 Znak"/>
    <w:basedOn w:val="Privzetapisavaodstavka"/>
    <w:link w:val="Naslov8"/>
    <w:uiPriority w:val="9"/>
    <w:semiHidden/>
    <w:rsid w:val="002116B5"/>
    <w:rPr>
      <w:rFonts w:asciiTheme="majorHAnsi" w:eastAsiaTheme="majorEastAsia" w:hAnsiTheme="majorHAnsi" w:cstheme="majorBidi"/>
      <w:b/>
      <w:bCs/>
      <w:color w:val="323232" w:themeColor="text2"/>
    </w:rPr>
  </w:style>
  <w:style w:type="character" w:customStyle="1" w:styleId="Naslov9Znak">
    <w:name w:val="Naslov 9 Znak"/>
    <w:basedOn w:val="Privzetapisavaodstavka"/>
    <w:link w:val="Naslov9"/>
    <w:uiPriority w:val="9"/>
    <w:semiHidden/>
    <w:rsid w:val="002116B5"/>
    <w:rPr>
      <w:rFonts w:asciiTheme="majorHAnsi" w:eastAsiaTheme="majorEastAsia" w:hAnsiTheme="majorHAnsi" w:cstheme="majorBidi"/>
      <w:b/>
      <w:bCs/>
      <w:i/>
      <w:iCs/>
      <w:color w:val="323232" w:themeColor="text2"/>
    </w:rPr>
  </w:style>
  <w:style w:type="paragraph" w:styleId="Napis">
    <w:name w:val="caption"/>
    <w:basedOn w:val="Navaden"/>
    <w:next w:val="Navaden"/>
    <w:uiPriority w:val="35"/>
    <w:semiHidden/>
    <w:unhideWhenUsed/>
    <w:qFormat/>
    <w:rsid w:val="002116B5"/>
    <w:pPr>
      <w:spacing w:line="240" w:lineRule="auto"/>
    </w:pPr>
    <w:rPr>
      <w:b/>
      <w:bCs/>
      <w:smallCaps/>
      <w:color w:val="595959" w:themeColor="text1" w:themeTint="A6"/>
      <w:spacing w:val="6"/>
    </w:rPr>
  </w:style>
  <w:style w:type="paragraph" w:styleId="Naslov">
    <w:name w:val="Title"/>
    <w:basedOn w:val="Navaden"/>
    <w:next w:val="Navaden"/>
    <w:link w:val="NaslovZnak"/>
    <w:uiPriority w:val="10"/>
    <w:qFormat/>
    <w:rsid w:val="002116B5"/>
    <w:pPr>
      <w:spacing w:after="0" w:line="240" w:lineRule="auto"/>
      <w:contextualSpacing/>
    </w:pPr>
    <w:rPr>
      <w:rFonts w:asciiTheme="majorHAnsi" w:eastAsiaTheme="majorEastAsia" w:hAnsiTheme="majorHAnsi" w:cstheme="majorBidi"/>
      <w:color w:val="A5300F" w:themeColor="accent1"/>
      <w:spacing w:val="-10"/>
      <w:sz w:val="56"/>
      <w:szCs w:val="56"/>
    </w:rPr>
  </w:style>
  <w:style w:type="character" w:customStyle="1" w:styleId="NaslovZnak">
    <w:name w:val="Naslov Znak"/>
    <w:basedOn w:val="Privzetapisavaodstavka"/>
    <w:link w:val="Naslov"/>
    <w:uiPriority w:val="10"/>
    <w:rsid w:val="002116B5"/>
    <w:rPr>
      <w:rFonts w:asciiTheme="majorHAnsi" w:eastAsiaTheme="majorEastAsia" w:hAnsiTheme="majorHAnsi" w:cstheme="majorBidi"/>
      <w:color w:val="A5300F" w:themeColor="accent1"/>
      <w:spacing w:val="-10"/>
      <w:sz w:val="56"/>
      <w:szCs w:val="56"/>
    </w:rPr>
  </w:style>
  <w:style w:type="paragraph" w:styleId="Podnaslov">
    <w:name w:val="Subtitle"/>
    <w:basedOn w:val="Navaden"/>
    <w:next w:val="Navaden"/>
    <w:link w:val="PodnaslovZnak"/>
    <w:uiPriority w:val="11"/>
    <w:qFormat/>
    <w:rsid w:val="002116B5"/>
    <w:pPr>
      <w:numPr>
        <w:ilvl w:val="1"/>
      </w:numPr>
      <w:spacing w:line="240" w:lineRule="auto"/>
    </w:pPr>
    <w:rPr>
      <w:rFonts w:asciiTheme="majorHAnsi" w:eastAsiaTheme="majorEastAsia" w:hAnsiTheme="majorHAnsi" w:cstheme="majorBidi"/>
      <w:sz w:val="24"/>
      <w:szCs w:val="24"/>
    </w:rPr>
  </w:style>
  <w:style w:type="character" w:customStyle="1" w:styleId="PodnaslovZnak">
    <w:name w:val="Podnaslov Znak"/>
    <w:basedOn w:val="Privzetapisavaodstavka"/>
    <w:link w:val="Podnaslov"/>
    <w:uiPriority w:val="11"/>
    <w:rsid w:val="002116B5"/>
    <w:rPr>
      <w:rFonts w:asciiTheme="majorHAnsi" w:eastAsiaTheme="majorEastAsia" w:hAnsiTheme="majorHAnsi" w:cstheme="majorBidi"/>
      <w:sz w:val="24"/>
      <w:szCs w:val="24"/>
    </w:rPr>
  </w:style>
  <w:style w:type="character" w:styleId="Krepko">
    <w:name w:val="Strong"/>
    <w:basedOn w:val="Privzetapisavaodstavka"/>
    <w:uiPriority w:val="22"/>
    <w:qFormat/>
    <w:rsid w:val="002116B5"/>
    <w:rPr>
      <w:b/>
      <w:bCs/>
    </w:rPr>
  </w:style>
  <w:style w:type="character" w:styleId="Poudarek">
    <w:name w:val="Emphasis"/>
    <w:basedOn w:val="Privzetapisavaodstavka"/>
    <w:uiPriority w:val="20"/>
    <w:qFormat/>
    <w:rsid w:val="002116B5"/>
    <w:rPr>
      <w:i/>
      <w:iCs/>
    </w:rPr>
  </w:style>
  <w:style w:type="paragraph" w:styleId="Brezrazmikov">
    <w:name w:val="No Spacing"/>
    <w:uiPriority w:val="1"/>
    <w:qFormat/>
    <w:rsid w:val="002E15C9"/>
    <w:pPr>
      <w:spacing w:after="0" w:line="240" w:lineRule="auto"/>
    </w:pPr>
    <w:rPr>
      <w:rFonts w:ascii="Garamond" w:hAnsi="Garamond"/>
      <w:sz w:val="22"/>
    </w:rPr>
  </w:style>
  <w:style w:type="paragraph" w:styleId="Citat">
    <w:name w:val="Quote"/>
    <w:basedOn w:val="Navaden"/>
    <w:next w:val="Navaden"/>
    <w:link w:val="CitatZnak"/>
    <w:uiPriority w:val="29"/>
    <w:qFormat/>
    <w:rsid w:val="002116B5"/>
    <w:pPr>
      <w:spacing w:before="160"/>
      <w:ind w:left="720" w:right="720"/>
    </w:pPr>
    <w:rPr>
      <w:i/>
      <w:iCs/>
      <w:color w:val="404040" w:themeColor="text1" w:themeTint="BF"/>
    </w:rPr>
  </w:style>
  <w:style w:type="character" w:customStyle="1" w:styleId="CitatZnak">
    <w:name w:val="Citat Znak"/>
    <w:basedOn w:val="Privzetapisavaodstavka"/>
    <w:link w:val="Citat"/>
    <w:uiPriority w:val="29"/>
    <w:rsid w:val="002116B5"/>
    <w:rPr>
      <w:i/>
      <w:iCs/>
      <w:color w:val="404040" w:themeColor="text1" w:themeTint="BF"/>
    </w:rPr>
  </w:style>
  <w:style w:type="paragraph" w:styleId="Intenzivencitat">
    <w:name w:val="Intense Quote"/>
    <w:basedOn w:val="Navaden"/>
    <w:next w:val="Navaden"/>
    <w:link w:val="IntenzivencitatZnak"/>
    <w:uiPriority w:val="30"/>
    <w:qFormat/>
    <w:rsid w:val="002116B5"/>
    <w:pPr>
      <w:pBdr>
        <w:left w:val="single" w:sz="18" w:space="12" w:color="A5300F" w:themeColor="accent1"/>
      </w:pBdr>
      <w:spacing w:before="100" w:beforeAutospacing="1" w:line="300" w:lineRule="auto"/>
      <w:ind w:left="1224" w:right="1224"/>
    </w:pPr>
    <w:rPr>
      <w:rFonts w:asciiTheme="majorHAnsi" w:eastAsiaTheme="majorEastAsia" w:hAnsiTheme="majorHAnsi" w:cstheme="majorBidi"/>
      <w:color w:val="A5300F" w:themeColor="accent1"/>
      <w:sz w:val="28"/>
      <w:szCs w:val="28"/>
    </w:rPr>
  </w:style>
  <w:style w:type="character" w:customStyle="1" w:styleId="IntenzivencitatZnak">
    <w:name w:val="Intenziven citat Znak"/>
    <w:basedOn w:val="Privzetapisavaodstavka"/>
    <w:link w:val="Intenzivencitat"/>
    <w:uiPriority w:val="30"/>
    <w:rsid w:val="002116B5"/>
    <w:rPr>
      <w:rFonts w:asciiTheme="majorHAnsi" w:eastAsiaTheme="majorEastAsia" w:hAnsiTheme="majorHAnsi" w:cstheme="majorBidi"/>
      <w:color w:val="A5300F" w:themeColor="accent1"/>
      <w:sz w:val="28"/>
      <w:szCs w:val="28"/>
    </w:rPr>
  </w:style>
  <w:style w:type="character" w:styleId="Neenpoudarek">
    <w:name w:val="Subtle Emphasis"/>
    <w:basedOn w:val="Privzetapisavaodstavka"/>
    <w:uiPriority w:val="19"/>
    <w:qFormat/>
    <w:rsid w:val="002116B5"/>
    <w:rPr>
      <w:i/>
      <w:iCs/>
      <w:color w:val="404040" w:themeColor="text1" w:themeTint="BF"/>
    </w:rPr>
  </w:style>
  <w:style w:type="character" w:styleId="Intenzivenpoudarek">
    <w:name w:val="Intense Emphasis"/>
    <w:basedOn w:val="Privzetapisavaodstavka"/>
    <w:uiPriority w:val="21"/>
    <w:qFormat/>
    <w:rsid w:val="002116B5"/>
    <w:rPr>
      <w:b/>
      <w:bCs/>
      <w:i/>
      <w:iCs/>
    </w:rPr>
  </w:style>
  <w:style w:type="character" w:styleId="Neensklic">
    <w:name w:val="Subtle Reference"/>
    <w:basedOn w:val="Privzetapisavaodstavka"/>
    <w:uiPriority w:val="31"/>
    <w:qFormat/>
    <w:rsid w:val="002116B5"/>
    <w:rPr>
      <w:smallCaps/>
      <w:color w:val="404040" w:themeColor="text1" w:themeTint="BF"/>
      <w:u w:val="single" w:color="7F7F7F" w:themeColor="text1" w:themeTint="80"/>
    </w:rPr>
  </w:style>
  <w:style w:type="character" w:styleId="Intenzivensklic">
    <w:name w:val="Intense Reference"/>
    <w:basedOn w:val="Privzetapisavaodstavka"/>
    <w:uiPriority w:val="32"/>
    <w:qFormat/>
    <w:rsid w:val="002116B5"/>
    <w:rPr>
      <w:b/>
      <w:bCs/>
      <w:smallCaps/>
      <w:spacing w:val="5"/>
      <w:u w:val="single"/>
    </w:rPr>
  </w:style>
  <w:style w:type="character" w:styleId="Naslovknjige">
    <w:name w:val="Book Title"/>
    <w:basedOn w:val="Privzetapisavaodstavka"/>
    <w:uiPriority w:val="33"/>
    <w:qFormat/>
    <w:rsid w:val="002116B5"/>
    <w:rPr>
      <w:b/>
      <w:bCs/>
      <w:smallCaps/>
    </w:rPr>
  </w:style>
  <w:style w:type="paragraph" w:styleId="NaslovTOC">
    <w:name w:val="TOC Heading"/>
    <w:basedOn w:val="Naslov1"/>
    <w:next w:val="Navaden"/>
    <w:uiPriority w:val="39"/>
    <w:semiHidden/>
    <w:unhideWhenUsed/>
    <w:qFormat/>
    <w:rsid w:val="002116B5"/>
    <w:pPr>
      <w:outlineLvl w:val="9"/>
    </w:pPr>
  </w:style>
  <w:style w:type="table" w:styleId="Tabelamrea">
    <w:name w:val="Table Grid"/>
    <w:basedOn w:val="Navadnatabela"/>
    <w:uiPriority w:val="39"/>
    <w:rsid w:val="00762C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Navadnatabela1">
    <w:name w:val="Plain Table 1"/>
    <w:basedOn w:val="Navadnatabela"/>
    <w:uiPriority w:val="41"/>
    <w:rsid w:val="00762C9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svetlamrea1poudarek4">
    <w:name w:val="Grid Table 1 Light Accent 4"/>
    <w:basedOn w:val="Navadnatabela"/>
    <w:uiPriority w:val="46"/>
    <w:rsid w:val="00AD6198"/>
    <w:pPr>
      <w:spacing w:after="0" w:line="240" w:lineRule="auto"/>
    </w:pPr>
    <w:tblPr>
      <w:tblStyleRowBandSize w:val="1"/>
      <w:tblStyleColBandSize w:val="1"/>
      <w:tblBorders>
        <w:top w:val="single" w:sz="4" w:space="0" w:color="DFD7CA" w:themeColor="accent4" w:themeTint="66"/>
        <w:left w:val="single" w:sz="4" w:space="0" w:color="DFD7CA" w:themeColor="accent4" w:themeTint="66"/>
        <w:bottom w:val="single" w:sz="4" w:space="0" w:color="DFD7CA" w:themeColor="accent4" w:themeTint="66"/>
        <w:right w:val="single" w:sz="4" w:space="0" w:color="DFD7CA" w:themeColor="accent4" w:themeTint="66"/>
        <w:insideH w:val="single" w:sz="4" w:space="0" w:color="DFD7CA" w:themeColor="accent4" w:themeTint="66"/>
        <w:insideV w:val="single" w:sz="4" w:space="0" w:color="DFD7CA" w:themeColor="accent4" w:themeTint="66"/>
      </w:tblBorders>
    </w:tblPr>
    <w:tblStylePr w:type="firstRow">
      <w:rPr>
        <w:b/>
        <w:bCs/>
      </w:rPr>
      <w:tblPr/>
      <w:tcPr>
        <w:tcBorders>
          <w:bottom w:val="single" w:sz="12" w:space="0" w:color="D0C3B0" w:themeColor="accent4" w:themeTint="99"/>
        </w:tcBorders>
      </w:tcPr>
    </w:tblStylePr>
    <w:tblStylePr w:type="lastRow">
      <w:rPr>
        <w:b/>
        <w:bCs/>
      </w:rPr>
      <w:tblPr/>
      <w:tcPr>
        <w:tcBorders>
          <w:top w:val="double" w:sz="2" w:space="0" w:color="D0C3B0" w:themeColor="accent4" w:themeTint="99"/>
        </w:tcBorders>
      </w:tcPr>
    </w:tblStylePr>
    <w:tblStylePr w:type="firstCol">
      <w:rPr>
        <w:b/>
        <w:bCs/>
      </w:rPr>
    </w:tblStylePr>
    <w:tblStylePr w:type="lastCol">
      <w:rPr>
        <w:b/>
        <w:bCs/>
      </w:rPr>
    </w:tblStylePr>
  </w:style>
  <w:style w:type="table" w:styleId="Tabelasvetlamrea">
    <w:name w:val="Grid Table Light"/>
    <w:basedOn w:val="Navadnatabela"/>
    <w:uiPriority w:val="40"/>
    <w:rsid w:val="00B1342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asvetlamrea1poudarek1">
    <w:name w:val="Grid Table 1 Light Accent 1"/>
    <w:basedOn w:val="Navadnatabela"/>
    <w:uiPriority w:val="46"/>
    <w:rsid w:val="00BD7F5C"/>
    <w:pPr>
      <w:spacing w:after="0" w:line="240" w:lineRule="auto"/>
    </w:pPr>
    <w:tblPr>
      <w:tblStyleRowBandSize w:val="1"/>
      <w:tblStyleColBandSize w:val="1"/>
      <w:tblBorders>
        <w:top w:val="single" w:sz="4" w:space="0" w:color="F49E86" w:themeColor="accent1" w:themeTint="66"/>
        <w:left w:val="single" w:sz="4" w:space="0" w:color="F49E86" w:themeColor="accent1" w:themeTint="66"/>
        <w:bottom w:val="single" w:sz="4" w:space="0" w:color="F49E86" w:themeColor="accent1" w:themeTint="66"/>
        <w:right w:val="single" w:sz="4" w:space="0" w:color="F49E86" w:themeColor="accent1" w:themeTint="66"/>
        <w:insideH w:val="single" w:sz="4" w:space="0" w:color="F49E86" w:themeColor="accent1" w:themeTint="66"/>
        <w:insideV w:val="single" w:sz="4" w:space="0" w:color="F49E86" w:themeColor="accent1" w:themeTint="66"/>
      </w:tblBorders>
    </w:tblPr>
    <w:tblStylePr w:type="firstRow">
      <w:rPr>
        <w:b/>
        <w:bCs/>
      </w:rPr>
      <w:tblPr/>
      <w:tcPr>
        <w:tcBorders>
          <w:bottom w:val="single" w:sz="12" w:space="0" w:color="EE6D49" w:themeColor="accent1" w:themeTint="99"/>
        </w:tcBorders>
      </w:tcPr>
    </w:tblStylePr>
    <w:tblStylePr w:type="lastRow">
      <w:rPr>
        <w:b/>
        <w:bCs/>
      </w:rPr>
      <w:tblPr/>
      <w:tcPr>
        <w:tcBorders>
          <w:top w:val="double" w:sz="2" w:space="0" w:color="EE6D49" w:themeColor="accent1" w:themeTint="99"/>
        </w:tcBorders>
      </w:tcPr>
    </w:tblStylePr>
    <w:tblStylePr w:type="firstCol">
      <w:rPr>
        <w:b/>
        <w:bCs/>
      </w:rPr>
    </w:tblStylePr>
    <w:tblStylePr w:type="lastCol">
      <w:rPr>
        <w:b/>
        <w:bCs/>
      </w:rPr>
    </w:tblStylePr>
  </w:style>
  <w:style w:type="table" w:customStyle="1" w:styleId="PlainTable">
    <w:name w:val="PlainTable"/>
    <w:basedOn w:val="Tabelasvetlamrea"/>
    <w:uiPriority w:val="99"/>
    <w:rsid w:val="00B13427"/>
    <w:tblPr/>
  </w:style>
  <w:style w:type="paragraph" w:styleId="Odstavekseznama">
    <w:name w:val="List Paragraph"/>
    <w:aliases w:val="ListParagraph"/>
    <w:basedOn w:val="Navaden"/>
    <w:uiPriority w:val="34"/>
    <w:qFormat/>
    <w:rsid w:val="00C407B2"/>
    <w:pPr>
      <w:ind w:left="720"/>
      <w:contextualSpacing/>
    </w:pPr>
  </w:style>
  <w:style w:type="table" w:styleId="Tabelasvetlamrea1">
    <w:name w:val="Grid Table 1 Light"/>
    <w:basedOn w:val="Navadnatabela"/>
    <w:uiPriority w:val="46"/>
    <w:rsid w:val="000D7E8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DefaultTable">
    <w:name w:val="DefaultTable"/>
    <w:basedOn w:val="Tabelasvetlamrea"/>
    <w:uiPriority w:val="99"/>
    <w:rsid w:val="00AA0A0F"/>
    <w:tblPr/>
    <w:tblStylePr w:type="firstRow">
      <w:rPr>
        <w:b/>
      </w:rPr>
      <w:tblPr/>
      <w:tcPr>
        <w:tcBorders>
          <w:top w:val="nil"/>
          <w:left w:val="nil"/>
          <w:bottom w:val="nil"/>
          <w:right w:val="nil"/>
          <w:insideH w:val="nil"/>
          <w:insideV w:val="nil"/>
          <w:tl2br w:val="nil"/>
          <w:tr2bl w:val="nil"/>
        </w:tcBorders>
      </w:tcPr>
    </w:tblStylePr>
  </w:style>
  <w:style w:type="table" w:customStyle="1" w:styleId="VerticalTable">
    <w:name w:val="VerticalTable"/>
    <w:basedOn w:val="Tabelasvetlamrea"/>
    <w:uiPriority w:val="99"/>
    <w:rsid w:val="00B959B9"/>
    <w:tblPr/>
    <w:tblStylePr w:type="firstCol">
      <w:rPr>
        <w:b/>
      </w:rPr>
      <w:tblPr/>
      <w:tcPr>
        <w:tcBorders>
          <w:top w:val="nil"/>
          <w:left w:val="nil"/>
          <w:bottom w:val="nil"/>
          <w:right w:val="nil"/>
          <w:insideH w:val="nil"/>
          <w:insideV w:val="nil"/>
          <w:tl2br w:val="nil"/>
          <w:tr2bl w:val="nil"/>
        </w:tcBorders>
      </w:tcPr>
    </w:tblStylePr>
  </w:style>
  <w:style w:type="table" w:customStyle="1" w:styleId="ParagraphTable">
    <w:name w:val="ParagraphTable"/>
    <w:basedOn w:val="Tabelasvetlamrea"/>
    <w:uiPriority w:val="99"/>
    <w:rsid w:val="008D2254"/>
    <w:pPr>
      <w:spacing w:after="120"/>
    </w:pPr>
    <w:tblPr/>
    <w:tblStylePr w:type="firstRow">
      <w:pPr>
        <w:wordWrap/>
        <w:spacing w:afterLines="0" w:after="0" w:afterAutospacing="0"/>
      </w:pPr>
      <w:rPr>
        <w:b/>
      </w:rPr>
      <w:tblPr/>
      <w:tcPr>
        <w:tcBorders>
          <w:top w:val="nil"/>
          <w:left w:val="nil"/>
          <w:bottom w:val="nil"/>
          <w:right w:val="nil"/>
          <w:insideH w:val="nil"/>
          <w:insideV w:val="nil"/>
          <w:tl2br w:val="nil"/>
          <w:tr2bl w:val="nil"/>
        </w:tcBorders>
      </w:tcPr>
    </w:tblStylePr>
  </w:style>
  <w:style w:type="table" w:customStyle="1" w:styleId="NestedTable">
    <w:name w:val="NestedTable"/>
    <w:basedOn w:val="Tabelamrea"/>
    <w:uiPriority w:val="99"/>
    <w:rsid w:val="007E45C0"/>
    <w:tblPr>
      <w:tblBorders>
        <w:top w:val="none" w:sz="0" w:space="0" w:color="auto"/>
        <w:left w:val="none" w:sz="0" w:space="0" w:color="auto"/>
        <w:bottom w:val="none" w:sz="0" w:space="0" w:color="auto"/>
        <w:right w:val="none" w:sz="0" w:space="0" w:color="auto"/>
        <w:insideH w:val="single" w:sz="4" w:space="0" w:color="BFBFBF" w:themeColor="background1" w:themeShade="BF"/>
        <w:insideV w:val="single" w:sz="4" w:space="0" w:color="BFBFBF" w:themeColor="background1" w:themeShade="BF"/>
      </w:tblBorders>
    </w:tblPr>
    <w:tblStylePr w:type="firstRow">
      <w:rPr>
        <w:i/>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Red">
      <a:dk1>
        <a:sysClr val="windowText" lastClr="000000"/>
      </a:dk1>
      <a:lt1>
        <a:sysClr val="window" lastClr="FFFFFF"/>
      </a:lt1>
      <a:dk2>
        <a:srgbClr val="323232"/>
      </a:dk2>
      <a:lt2>
        <a:srgbClr val="E5C243"/>
      </a:lt2>
      <a:accent1>
        <a:srgbClr val="A5300F"/>
      </a:accent1>
      <a:accent2>
        <a:srgbClr val="D55816"/>
      </a:accent2>
      <a:accent3>
        <a:srgbClr val="E19825"/>
      </a:accent3>
      <a:accent4>
        <a:srgbClr val="B19C7D"/>
      </a:accent4>
      <a:accent5>
        <a:srgbClr val="7F5F52"/>
      </a:accent5>
      <a:accent6>
        <a:srgbClr val="B27D49"/>
      </a:accent6>
      <a:hlink>
        <a:srgbClr val="6B9F25"/>
      </a:hlink>
      <a:folHlink>
        <a:srgbClr val="B26B0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CD00D-0C8E-4472-80BA-C9C968F101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975</Words>
  <Characters>5564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Nanut, Matej</dc:creator>
  <cp:keywords/>
  <dc:description/>
  <cp:lastModifiedBy>Marentič, Maja</cp:lastModifiedBy>
  <cp:revision>2</cp:revision>
  <dcterms:created xsi:type="dcterms:W3CDTF">2025-05-09T08:44:00Z</dcterms:created>
  <dcterms:modified xsi:type="dcterms:W3CDTF">2025-05-09T08:44:00Z</dcterms:modified>
</cp:coreProperties>
</file>