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857E48" w:rsidRPr="00F340F3" w14:paraId="4AFBB841" w14:textId="77777777" w:rsidTr="001508B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79E46B77"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UČNI NAČRT PREDMETA / COURSE SYLLABUS</w:t>
            </w:r>
          </w:p>
        </w:tc>
      </w:tr>
      <w:tr w:rsidR="00857E48" w:rsidRPr="00F340F3" w14:paraId="624C47E4" w14:textId="77777777" w:rsidTr="001508BD">
        <w:tc>
          <w:tcPr>
            <w:tcW w:w="1799" w:type="dxa"/>
            <w:gridSpan w:val="3"/>
          </w:tcPr>
          <w:p w14:paraId="35D8718D" w14:textId="77777777" w:rsidR="00857E48" w:rsidRPr="00F340F3" w:rsidRDefault="00857E48" w:rsidP="00A66FBE">
            <w:pPr>
              <w:rPr>
                <w:rFonts w:ascii="Arial" w:hAnsi="Arial" w:cs="Arial"/>
                <w:b/>
                <w:sz w:val="22"/>
                <w:szCs w:val="22"/>
              </w:rPr>
            </w:pPr>
            <w:r w:rsidRPr="00F340F3">
              <w:rPr>
                <w:rFonts w:ascii="Arial" w:hAnsi="Arial" w:cs="Arial"/>
                <w:b/>
                <w:sz w:val="22"/>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4B890331" w14:textId="77777777" w:rsidR="00857E48" w:rsidRPr="00F340F3" w:rsidRDefault="00F30C51" w:rsidP="00A66FBE">
            <w:pPr>
              <w:rPr>
                <w:rFonts w:ascii="Arial" w:hAnsi="Arial" w:cs="Arial"/>
                <w:b/>
                <w:sz w:val="22"/>
                <w:szCs w:val="22"/>
              </w:rPr>
            </w:pPr>
            <w:bookmarkStart w:id="0" w:name="Predmet"/>
            <w:bookmarkEnd w:id="0"/>
            <w:r w:rsidRPr="00F340F3">
              <w:rPr>
                <w:rFonts w:ascii="Arial" w:hAnsi="Arial" w:cs="Arial"/>
                <w:b/>
                <w:sz w:val="22"/>
                <w:szCs w:val="22"/>
              </w:rPr>
              <w:t>Pravno raziskovanje in pisanje</w:t>
            </w:r>
          </w:p>
        </w:tc>
      </w:tr>
      <w:tr w:rsidR="00857E48" w:rsidRPr="00F340F3" w14:paraId="489BA4C7" w14:textId="77777777" w:rsidTr="001508BD">
        <w:tc>
          <w:tcPr>
            <w:tcW w:w="1799" w:type="dxa"/>
            <w:gridSpan w:val="3"/>
          </w:tcPr>
          <w:p w14:paraId="236ECE8C" w14:textId="77777777" w:rsidR="00857E48" w:rsidRPr="00F340F3" w:rsidRDefault="00857E48" w:rsidP="00A66FBE">
            <w:pPr>
              <w:rPr>
                <w:rFonts w:ascii="Arial" w:hAnsi="Arial" w:cs="Arial"/>
                <w:b/>
                <w:sz w:val="22"/>
                <w:szCs w:val="22"/>
              </w:rPr>
            </w:pPr>
            <w:r w:rsidRPr="00F340F3">
              <w:rPr>
                <w:rFonts w:ascii="Arial" w:hAnsi="Arial" w:cs="Arial"/>
                <w:b/>
                <w:sz w:val="22"/>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6CF686BB" w14:textId="77777777" w:rsidR="00857E48" w:rsidRPr="00F340F3" w:rsidRDefault="00F30C51" w:rsidP="00A66FBE">
            <w:pPr>
              <w:rPr>
                <w:rFonts w:ascii="Arial" w:hAnsi="Arial" w:cs="Arial"/>
                <w:sz w:val="22"/>
                <w:szCs w:val="22"/>
              </w:rPr>
            </w:pPr>
            <w:bookmarkStart w:id="1" w:name="APredmet"/>
            <w:bookmarkEnd w:id="1"/>
            <w:r w:rsidRPr="00F340F3">
              <w:rPr>
                <w:rFonts w:ascii="Arial" w:hAnsi="Arial" w:cs="Arial"/>
                <w:sz w:val="22"/>
                <w:szCs w:val="22"/>
              </w:rPr>
              <w:t>Legal research and writing</w:t>
            </w:r>
          </w:p>
        </w:tc>
      </w:tr>
      <w:tr w:rsidR="00857E48" w:rsidRPr="00F340F3" w14:paraId="53F38853" w14:textId="77777777" w:rsidTr="001508BD">
        <w:tc>
          <w:tcPr>
            <w:tcW w:w="3307" w:type="dxa"/>
            <w:gridSpan w:val="5"/>
            <w:vAlign w:val="center"/>
          </w:tcPr>
          <w:p w14:paraId="160D2F0D" w14:textId="77777777" w:rsidR="00857E48" w:rsidRPr="00F340F3" w:rsidRDefault="00857E48" w:rsidP="00A66FBE">
            <w:pPr>
              <w:jc w:val="center"/>
              <w:rPr>
                <w:rFonts w:ascii="Arial" w:hAnsi="Arial" w:cs="Arial"/>
                <w:b/>
                <w:sz w:val="22"/>
                <w:szCs w:val="22"/>
              </w:rPr>
            </w:pPr>
          </w:p>
        </w:tc>
        <w:tc>
          <w:tcPr>
            <w:tcW w:w="3401" w:type="dxa"/>
            <w:gridSpan w:val="8"/>
            <w:vAlign w:val="center"/>
          </w:tcPr>
          <w:p w14:paraId="12D2C783" w14:textId="77777777" w:rsidR="00857E48" w:rsidRPr="00F340F3" w:rsidRDefault="00857E48" w:rsidP="00A66FBE">
            <w:pPr>
              <w:jc w:val="center"/>
              <w:rPr>
                <w:rFonts w:ascii="Arial" w:hAnsi="Arial" w:cs="Arial"/>
                <w:b/>
                <w:sz w:val="22"/>
                <w:szCs w:val="22"/>
              </w:rPr>
            </w:pPr>
          </w:p>
        </w:tc>
        <w:tc>
          <w:tcPr>
            <w:tcW w:w="1558" w:type="dxa"/>
            <w:gridSpan w:val="2"/>
            <w:vAlign w:val="center"/>
          </w:tcPr>
          <w:p w14:paraId="3B3CB280" w14:textId="77777777" w:rsidR="00857E48" w:rsidRPr="00F340F3" w:rsidRDefault="00857E48" w:rsidP="00A66FBE">
            <w:pPr>
              <w:jc w:val="center"/>
              <w:rPr>
                <w:rFonts w:ascii="Arial" w:hAnsi="Arial" w:cs="Arial"/>
                <w:b/>
                <w:sz w:val="22"/>
                <w:szCs w:val="22"/>
              </w:rPr>
            </w:pPr>
          </w:p>
        </w:tc>
        <w:tc>
          <w:tcPr>
            <w:tcW w:w="1424" w:type="dxa"/>
            <w:gridSpan w:val="3"/>
            <w:vAlign w:val="center"/>
          </w:tcPr>
          <w:p w14:paraId="22989E09" w14:textId="77777777" w:rsidR="00857E48" w:rsidRPr="00F340F3" w:rsidRDefault="00857E48" w:rsidP="00A66FBE">
            <w:pPr>
              <w:jc w:val="center"/>
              <w:rPr>
                <w:rFonts w:ascii="Arial" w:hAnsi="Arial" w:cs="Arial"/>
                <w:b/>
                <w:sz w:val="22"/>
                <w:szCs w:val="22"/>
              </w:rPr>
            </w:pPr>
          </w:p>
        </w:tc>
      </w:tr>
      <w:tr w:rsidR="00857E48" w:rsidRPr="00F340F3" w14:paraId="13D9CCDC" w14:textId="77777777" w:rsidTr="001508BD">
        <w:tc>
          <w:tcPr>
            <w:tcW w:w="3307" w:type="dxa"/>
            <w:gridSpan w:val="5"/>
            <w:tcBorders>
              <w:top w:val="nil"/>
              <w:left w:val="nil"/>
              <w:bottom w:val="single" w:sz="4" w:space="0" w:color="auto"/>
              <w:right w:val="nil"/>
            </w:tcBorders>
            <w:vAlign w:val="center"/>
          </w:tcPr>
          <w:p w14:paraId="40C1B5D0"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Študijski program in stopnja</w:t>
            </w:r>
          </w:p>
          <w:p w14:paraId="6268C859" w14:textId="77777777" w:rsidR="00857E48" w:rsidRPr="00F340F3" w:rsidRDefault="00857E48" w:rsidP="00A66FBE">
            <w:pPr>
              <w:jc w:val="center"/>
              <w:rPr>
                <w:rFonts w:ascii="Arial" w:hAnsi="Arial" w:cs="Arial"/>
                <w:sz w:val="22"/>
                <w:szCs w:val="22"/>
              </w:rPr>
            </w:pPr>
            <w:r w:rsidRPr="00F340F3">
              <w:rPr>
                <w:rFonts w:ascii="Arial" w:hAnsi="Arial" w:cs="Arial"/>
                <w:b/>
                <w:sz w:val="22"/>
                <w:szCs w:val="22"/>
              </w:rPr>
              <w:t>Study programme and level</w:t>
            </w:r>
          </w:p>
        </w:tc>
        <w:tc>
          <w:tcPr>
            <w:tcW w:w="3401" w:type="dxa"/>
            <w:gridSpan w:val="8"/>
            <w:tcBorders>
              <w:top w:val="nil"/>
              <w:left w:val="nil"/>
              <w:bottom w:val="single" w:sz="4" w:space="0" w:color="auto"/>
              <w:right w:val="nil"/>
            </w:tcBorders>
            <w:vAlign w:val="center"/>
          </w:tcPr>
          <w:p w14:paraId="68DAEBBA"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Študijska smer</w:t>
            </w:r>
          </w:p>
          <w:p w14:paraId="31921FE7"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Study field</w:t>
            </w:r>
          </w:p>
        </w:tc>
        <w:tc>
          <w:tcPr>
            <w:tcW w:w="1558" w:type="dxa"/>
            <w:gridSpan w:val="2"/>
            <w:tcBorders>
              <w:top w:val="nil"/>
              <w:left w:val="nil"/>
              <w:bottom w:val="single" w:sz="4" w:space="0" w:color="auto"/>
              <w:right w:val="nil"/>
            </w:tcBorders>
            <w:vAlign w:val="center"/>
          </w:tcPr>
          <w:p w14:paraId="4DDEB8E2"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Letnik</w:t>
            </w:r>
          </w:p>
          <w:p w14:paraId="74679961"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Academic year</w:t>
            </w:r>
          </w:p>
        </w:tc>
        <w:tc>
          <w:tcPr>
            <w:tcW w:w="1424" w:type="dxa"/>
            <w:gridSpan w:val="3"/>
            <w:tcBorders>
              <w:top w:val="nil"/>
              <w:left w:val="nil"/>
              <w:bottom w:val="single" w:sz="4" w:space="0" w:color="auto"/>
              <w:right w:val="nil"/>
            </w:tcBorders>
            <w:vAlign w:val="center"/>
          </w:tcPr>
          <w:p w14:paraId="457411ED"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Semester</w:t>
            </w:r>
          </w:p>
          <w:p w14:paraId="10E09C53"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Semester</w:t>
            </w:r>
          </w:p>
        </w:tc>
      </w:tr>
      <w:tr w:rsidR="00857E48" w:rsidRPr="00F340F3" w14:paraId="3C21BD85" w14:textId="77777777" w:rsidTr="001508B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594C9F2" w14:textId="77777777" w:rsidR="00857E48" w:rsidRPr="00F340F3" w:rsidRDefault="00B90730" w:rsidP="00FD47E6">
            <w:pPr>
              <w:jc w:val="center"/>
              <w:rPr>
                <w:rFonts w:ascii="Arial" w:hAnsi="Arial" w:cs="Arial"/>
                <w:b/>
                <w:bCs/>
                <w:sz w:val="22"/>
                <w:szCs w:val="22"/>
              </w:rPr>
            </w:pPr>
            <w:r w:rsidRPr="00F340F3">
              <w:rPr>
                <w:rFonts w:ascii="Arial" w:hAnsi="Arial" w:cs="Arial"/>
                <w:b/>
                <w:bCs/>
                <w:sz w:val="22"/>
                <w:szCs w:val="22"/>
              </w:rPr>
              <w:t>Enoviti magistrski študijski program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58142154" w14:textId="77777777" w:rsidR="00857E48" w:rsidRPr="00F340F3" w:rsidRDefault="00857E48" w:rsidP="00A66FBE">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74F7A3F" w14:textId="68560C5E" w:rsidR="00857E48" w:rsidRPr="00F340F3" w:rsidRDefault="00663C55" w:rsidP="00660868">
            <w:pPr>
              <w:jc w:val="center"/>
              <w:rPr>
                <w:rFonts w:ascii="Arial" w:hAnsi="Arial" w:cs="Arial"/>
                <w:b/>
                <w:bCs/>
                <w:sz w:val="22"/>
                <w:szCs w:val="22"/>
              </w:rPr>
            </w:pPr>
            <w:r w:rsidRPr="00F340F3">
              <w:rPr>
                <w:rFonts w:ascii="Arial" w:hAnsi="Arial" w:cs="Arial"/>
                <w:b/>
                <w:bCs/>
                <w:sz w:val="22"/>
                <w:szCs w:val="22"/>
              </w:rPr>
              <w:t xml:space="preserve">2., </w:t>
            </w:r>
            <w:r w:rsidR="00DD3109" w:rsidRPr="00F340F3">
              <w:rPr>
                <w:rFonts w:ascii="Arial" w:hAnsi="Arial" w:cs="Arial"/>
                <w:b/>
                <w:bCs/>
                <w:sz w:val="22"/>
                <w:szCs w:val="22"/>
              </w:rPr>
              <w:t>3.</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5F11777C" w14:textId="4825508F" w:rsidR="00857E48" w:rsidRPr="00F340F3" w:rsidRDefault="00B90730" w:rsidP="00660868">
            <w:pPr>
              <w:jc w:val="center"/>
              <w:rPr>
                <w:rFonts w:ascii="Arial" w:hAnsi="Arial" w:cs="Arial"/>
                <w:b/>
                <w:bCs/>
                <w:sz w:val="22"/>
                <w:szCs w:val="22"/>
              </w:rPr>
            </w:pPr>
            <w:r w:rsidRPr="00F340F3">
              <w:rPr>
                <w:rFonts w:ascii="Arial" w:hAnsi="Arial" w:cs="Arial"/>
                <w:b/>
                <w:bCs/>
                <w:sz w:val="22"/>
                <w:szCs w:val="22"/>
              </w:rPr>
              <w:t>3., 5.</w:t>
            </w:r>
          </w:p>
        </w:tc>
      </w:tr>
      <w:tr w:rsidR="00857E48" w:rsidRPr="00F340F3" w14:paraId="6384B367" w14:textId="77777777" w:rsidTr="001508B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75705940" w14:textId="77777777" w:rsidR="00857E48" w:rsidRPr="00F340F3" w:rsidRDefault="00B90730" w:rsidP="002E2E82">
            <w:pPr>
              <w:jc w:val="center"/>
              <w:rPr>
                <w:rFonts w:ascii="Arial" w:hAnsi="Arial" w:cs="Arial"/>
                <w:b/>
                <w:bCs/>
                <w:sz w:val="22"/>
                <w:szCs w:val="22"/>
              </w:rPr>
            </w:pPr>
            <w:r w:rsidRPr="00F340F3">
              <w:rPr>
                <w:rFonts w:ascii="Arial" w:hAnsi="Arial" w:cs="Arial"/>
                <w:b/>
                <w:bCs/>
                <w:sz w:val="22"/>
                <w:szCs w:val="22"/>
              </w:rPr>
              <w:t>Integrated master study programme Law</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721CE675" w14:textId="77777777" w:rsidR="00857E48" w:rsidRPr="00F340F3" w:rsidRDefault="00857E48" w:rsidP="00A66FBE">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9C1FA3B" w14:textId="6DC13AD9" w:rsidR="00857E48" w:rsidRPr="00F340F3" w:rsidRDefault="00663C55" w:rsidP="00660868">
            <w:pPr>
              <w:jc w:val="center"/>
              <w:rPr>
                <w:rFonts w:ascii="Arial" w:hAnsi="Arial" w:cs="Arial"/>
                <w:b/>
                <w:bCs/>
                <w:sz w:val="22"/>
                <w:szCs w:val="22"/>
              </w:rPr>
            </w:pPr>
            <w:r w:rsidRPr="00F340F3">
              <w:rPr>
                <w:rFonts w:ascii="Arial" w:hAnsi="Arial" w:cs="Arial"/>
                <w:b/>
                <w:bCs/>
                <w:sz w:val="22"/>
                <w:szCs w:val="22"/>
              </w:rPr>
              <w:t>2</w:t>
            </w:r>
            <w:r w:rsidRPr="00F340F3">
              <w:rPr>
                <w:rFonts w:ascii="Arial" w:hAnsi="Arial" w:cs="Arial"/>
                <w:b/>
                <w:bCs/>
                <w:sz w:val="22"/>
                <w:szCs w:val="22"/>
                <w:vertAlign w:val="superscript"/>
              </w:rPr>
              <w:t>nd</w:t>
            </w:r>
            <w:r w:rsidRPr="00F340F3">
              <w:rPr>
                <w:rFonts w:ascii="Arial" w:hAnsi="Arial" w:cs="Arial"/>
                <w:b/>
                <w:bCs/>
                <w:sz w:val="22"/>
                <w:szCs w:val="22"/>
              </w:rPr>
              <w:t xml:space="preserve">, </w:t>
            </w:r>
            <w:r w:rsidR="00DD3109" w:rsidRPr="00F340F3">
              <w:rPr>
                <w:rFonts w:ascii="Arial" w:hAnsi="Arial" w:cs="Arial"/>
                <w:b/>
                <w:bCs/>
                <w:sz w:val="22"/>
                <w:szCs w:val="22"/>
              </w:rPr>
              <w:t>3</w:t>
            </w:r>
            <w:r w:rsidR="00DD3109" w:rsidRPr="00F340F3">
              <w:rPr>
                <w:rFonts w:ascii="Arial" w:hAnsi="Arial" w:cs="Arial"/>
                <w:b/>
                <w:bCs/>
                <w:sz w:val="22"/>
                <w:szCs w:val="22"/>
                <w:vertAlign w:val="superscript"/>
              </w:rPr>
              <w:t>rd</w:t>
            </w:r>
            <w:r w:rsidR="00DD3109" w:rsidRPr="00F340F3">
              <w:rPr>
                <w:rFonts w:ascii="Arial" w:hAnsi="Arial" w:cs="Arial"/>
                <w:b/>
                <w:bCs/>
                <w:sz w:val="22"/>
                <w:szCs w:val="22"/>
              </w:rPr>
              <w:t xml:space="preserve"> </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01A9A0A6" w14:textId="28FB7BE9" w:rsidR="00857E48" w:rsidRPr="00F340F3" w:rsidRDefault="006C1B97" w:rsidP="00660868">
            <w:pPr>
              <w:jc w:val="center"/>
              <w:rPr>
                <w:rFonts w:ascii="Arial" w:hAnsi="Arial" w:cs="Arial"/>
                <w:b/>
                <w:bCs/>
                <w:sz w:val="22"/>
                <w:szCs w:val="22"/>
              </w:rPr>
            </w:pPr>
            <w:r w:rsidRPr="00F340F3">
              <w:rPr>
                <w:rFonts w:ascii="Arial" w:hAnsi="Arial" w:cs="Arial"/>
                <w:b/>
                <w:bCs/>
                <w:sz w:val="22"/>
                <w:szCs w:val="22"/>
              </w:rPr>
              <w:t xml:space="preserve"> </w:t>
            </w:r>
            <w:r w:rsidR="00B90730" w:rsidRPr="00F340F3">
              <w:rPr>
                <w:rFonts w:ascii="Arial" w:hAnsi="Arial" w:cs="Arial"/>
                <w:b/>
                <w:bCs/>
                <w:sz w:val="22"/>
                <w:szCs w:val="22"/>
              </w:rPr>
              <w:t>3rd, 5th</w:t>
            </w:r>
          </w:p>
        </w:tc>
      </w:tr>
      <w:tr w:rsidR="00857E48" w:rsidRPr="00F340F3" w14:paraId="549856EA" w14:textId="77777777" w:rsidTr="001508BD">
        <w:trPr>
          <w:trHeight w:val="103"/>
        </w:trPr>
        <w:tc>
          <w:tcPr>
            <w:tcW w:w="9690" w:type="dxa"/>
            <w:gridSpan w:val="18"/>
          </w:tcPr>
          <w:p w14:paraId="74E371F9" w14:textId="77777777" w:rsidR="00857E48" w:rsidRPr="00F340F3" w:rsidRDefault="00857E48" w:rsidP="00A66FBE">
            <w:pPr>
              <w:rPr>
                <w:rFonts w:ascii="Arial" w:hAnsi="Arial" w:cs="Arial"/>
                <w:b/>
                <w:bCs/>
                <w:sz w:val="22"/>
                <w:szCs w:val="22"/>
              </w:rPr>
            </w:pPr>
          </w:p>
        </w:tc>
      </w:tr>
      <w:tr w:rsidR="00857E48" w:rsidRPr="00F340F3" w14:paraId="6A104F8A" w14:textId="77777777" w:rsidTr="001508BD">
        <w:tc>
          <w:tcPr>
            <w:tcW w:w="5718" w:type="dxa"/>
            <w:gridSpan w:val="12"/>
            <w:tcBorders>
              <w:top w:val="nil"/>
              <w:left w:val="nil"/>
              <w:bottom w:val="nil"/>
              <w:right w:val="single" w:sz="4" w:space="0" w:color="auto"/>
            </w:tcBorders>
          </w:tcPr>
          <w:p w14:paraId="734B39C7" w14:textId="77777777" w:rsidR="00857E48" w:rsidRPr="00F340F3" w:rsidRDefault="00857E48" w:rsidP="00A66FBE">
            <w:pPr>
              <w:rPr>
                <w:rFonts w:ascii="Arial" w:hAnsi="Arial" w:cs="Arial"/>
                <w:b/>
                <w:sz w:val="22"/>
                <w:szCs w:val="22"/>
              </w:rPr>
            </w:pPr>
            <w:r w:rsidRPr="00F340F3">
              <w:rPr>
                <w:rFonts w:ascii="Arial" w:hAnsi="Arial" w:cs="Arial"/>
                <w:b/>
                <w:sz w:val="22"/>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14:paraId="27F48147" w14:textId="77777777" w:rsidR="00857E48" w:rsidRPr="00F340F3" w:rsidRDefault="00BE1068" w:rsidP="00A66FBE">
            <w:pPr>
              <w:rPr>
                <w:rFonts w:ascii="Arial" w:hAnsi="Arial" w:cs="Arial"/>
                <w:sz w:val="22"/>
                <w:szCs w:val="22"/>
              </w:rPr>
            </w:pPr>
            <w:r w:rsidRPr="00F340F3">
              <w:rPr>
                <w:rFonts w:ascii="Arial" w:hAnsi="Arial" w:cs="Arial"/>
                <w:sz w:val="22"/>
                <w:szCs w:val="22"/>
              </w:rPr>
              <w:t>Izbirni predmet / Elective course</w:t>
            </w:r>
          </w:p>
        </w:tc>
      </w:tr>
      <w:tr w:rsidR="00857E48" w:rsidRPr="00F340F3" w14:paraId="12B532C2" w14:textId="77777777" w:rsidTr="001508BD">
        <w:tc>
          <w:tcPr>
            <w:tcW w:w="5718" w:type="dxa"/>
            <w:gridSpan w:val="12"/>
          </w:tcPr>
          <w:p w14:paraId="0EC85DAB" w14:textId="77777777" w:rsidR="00857E48" w:rsidRPr="00F340F3" w:rsidRDefault="00857E48" w:rsidP="00A66FBE">
            <w:pPr>
              <w:rPr>
                <w:rFonts w:ascii="Arial" w:hAnsi="Arial" w:cs="Arial"/>
                <w:b/>
                <w:sz w:val="22"/>
                <w:szCs w:val="22"/>
              </w:rPr>
            </w:pPr>
          </w:p>
        </w:tc>
        <w:tc>
          <w:tcPr>
            <w:tcW w:w="3972" w:type="dxa"/>
            <w:gridSpan w:val="6"/>
            <w:tcBorders>
              <w:top w:val="single" w:sz="4" w:space="0" w:color="auto"/>
              <w:left w:val="nil"/>
              <w:bottom w:val="single" w:sz="4" w:space="0" w:color="auto"/>
              <w:right w:val="nil"/>
            </w:tcBorders>
          </w:tcPr>
          <w:p w14:paraId="37BE1840" w14:textId="77777777" w:rsidR="00857E48" w:rsidRPr="00F340F3" w:rsidRDefault="00857E48" w:rsidP="00A66FBE">
            <w:pPr>
              <w:rPr>
                <w:rFonts w:ascii="Arial" w:hAnsi="Arial" w:cs="Arial"/>
                <w:sz w:val="22"/>
                <w:szCs w:val="22"/>
              </w:rPr>
            </w:pPr>
          </w:p>
        </w:tc>
      </w:tr>
      <w:tr w:rsidR="00857E48" w:rsidRPr="00F340F3" w14:paraId="573A6B35" w14:textId="77777777" w:rsidTr="001508BD">
        <w:tc>
          <w:tcPr>
            <w:tcW w:w="5718" w:type="dxa"/>
            <w:gridSpan w:val="12"/>
            <w:tcBorders>
              <w:top w:val="nil"/>
              <w:left w:val="nil"/>
              <w:bottom w:val="nil"/>
              <w:right w:val="single" w:sz="4" w:space="0" w:color="auto"/>
            </w:tcBorders>
          </w:tcPr>
          <w:p w14:paraId="4C68F858" w14:textId="77777777" w:rsidR="00857E48" w:rsidRPr="00F340F3" w:rsidRDefault="00857E48" w:rsidP="00A66FBE">
            <w:pPr>
              <w:rPr>
                <w:rFonts w:ascii="Arial" w:hAnsi="Arial" w:cs="Arial"/>
                <w:b/>
                <w:sz w:val="22"/>
                <w:szCs w:val="22"/>
              </w:rPr>
            </w:pPr>
            <w:r w:rsidRPr="00F340F3">
              <w:rPr>
                <w:rFonts w:ascii="Arial" w:hAnsi="Arial" w:cs="Arial"/>
                <w:b/>
                <w:sz w:val="22"/>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14:paraId="720C26D3" w14:textId="77777777" w:rsidR="00857E48" w:rsidRPr="00F340F3" w:rsidRDefault="00857E48" w:rsidP="00A66FBE">
            <w:pPr>
              <w:rPr>
                <w:rFonts w:ascii="Arial" w:hAnsi="Arial" w:cs="Arial"/>
                <w:sz w:val="22"/>
                <w:szCs w:val="22"/>
              </w:rPr>
            </w:pPr>
          </w:p>
        </w:tc>
      </w:tr>
      <w:tr w:rsidR="00857E48" w:rsidRPr="00F340F3" w14:paraId="796C7A19" w14:textId="77777777" w:rsidTr="001508BD">
        <w:tc>
          <w:tcPr>
            <w:tcW w:w="9690" w:type="dxa"/>
            <w:gridSpan w:val="18"/>
          </w:tcPr>
          <w:p w14:paraId="772FA226" w14:textId="77777777" w:rsidR="00857E48" w:rsidRPr="00F340F3" w:rsidRDefault="00857E48" w:rsidP="00A66FBE">
            <w:pPr>
              <w:rPr>
                <w:rFonts w:ascii="Arial" w:hAnsi="Arial" w:cs="Arial"/>
                <w:sz w:val="22"/>
                <w:szCs w:val="22"/>
              </w:rPr>
            </w:pPr>
          </w:p>
        </w:tc>
      </w:tr>
      <w:tr w:rsidR="00857E48" w:rsidRPr="00F340F3" w14:paraId="5A43EDB1" w14:textId="77777777" w:rsidTr="001508BD">
        <w:tc>
          <w:tcPr>
            <w:tcW w:w="1410" w:type="dxa"/>
            <w:tcBorders>
              <w:top w:val="nil"/>
              <w:left w:val="nil"/>
              <w:bottom w:val="single" w:sz="4" w:space="0" w:color="auto"/>
              <w:right w:val="nil"/>
            </w:tcBorders>
            <w:vAlign w:val="center"/>
          </w:tcPr>
          <w:p w14:paraId="5194F94E"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Predavanja</w:t>
            </w:r>
          </w:p>
          <w:p w14:paraId="5B2D18A6" w14:textId="77777777" w:rsidR="00857E48" w:rsidRPr="00F340F3" w:rsidRDefault="00857E48" w:rsidP="00A66FBE">
            <w:pPr>
              <w:jc w:val="center"/>
              <w:rPr>
                <w:rFonts w:ascii="Arial" w:hAnsi="Arial" w:cs="Arial"/>
                <w:sz w:val="22"/>
                <w:szCs w:val="22"/>
              </w:rPr>
            </w:pPr>
            <w:r w:rsidRPr="00F340F3">
              <w:rPr>
                <w:rFonts w:ascii="Arial" w:hAnsi="Arial" w:cs="Arial"/>
                <w:b/>
                <w:sz w:val="22"/>
                <w:szCs w:val="22"/>
              </w:rPr>
              <w:t>Lectures</w:t>
            </w:r>
          </w:p>
        </w:tc>
        <w:tc>
          <w:tcPr>
            <w:tcW w:w="1410" w:type="dxa"/>
            <w:gridSpan w:val="3"/>
            <w:tcBorders>
              <w:top w:val="nil"/>
              <w:left w:val="nil"/>
              <w:bottom w:val="single" w:sz="4" w:space="0" w:color="auto"/>
              <w:right w:val="nil"/>
            </w:tcBorders>
            <w:vAlign w:val="center"/>
          </w:tcPr>
          <w:p w14:paraId="6C17870C"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Seminar</w:t>
            </w:r>
          </w:p>
          <w:p w14:paraId="5DA4C308"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Seminar</w:t>
            </w:r>
          </w:p>
        </w:tc>
        <w:tc>
          <w:tcPr>
            <w:tcW w:w="1418" w:type="dxa"/>
            <w:gridSpan w:val="3"/>
            <w:tcBorders>
              <w:top w:val="nil"/>
              <w:left w:val="nil"/>
              <w:bottom w:val="single" w:sz="4" w:space="0" w:color="auto"/>
              <w:right w:val="nil"/>
            </w:tcBorders>
            <w:vAlign w:val="center"/>
          </w:tcPr>
          <w:p w14:paraId="14DAE47F"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Vaje</w:t>
            </w:r>
          </w:p>
          <w:p w14:paraId="2C7CA6C4"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Tutorial</w:t>
            </w:r>
          </w:p>
        </w:tc>
        <w:tc>
          <w:tcPr>
            <w:tcW w:w="1418" w:type="dxa"/>
            <w:gridSpan w:val="4"/>
            <w:tcBorders>
              <w:top w:val="nil"/>
              <w:left w:val="nil"/>
              <w:bottom w:val="single" w:sz="4" w:space="0" w:color="auto"/>
              <w:right w:val="nil"/>
            </w:tcBorders>
            <w:vAlign w:val="center"/>
          </w:tcPr>
          <w:p w14:paraId="451683BF"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Klinične vaje</w:t>
            </w:r>
          </w:p>
          <w:p w14:paraId="0BC9085D"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work</w:t>
            </w:r>
          </w:p>
        </w:tc>
        <w:tc>
          <w:tcPr>
            <w:tcW w:w="1417" w:type="dxa"/>
            <w:gridSpan w:val="3"/>
            <w:tcBorders>
              <w:top w:val="nil"/>
              <w:left w:val="nil"/>
              <w:bottom w:val="single" w:sz="4" w:space="0" w:color="auto"/>
              <w:right w:val="nil"/>
            </w:tcBorders>
            <w:vAlign w:val="center"/>
          </w:tcPr>
          <w:p w14:paraId="3A528052"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Druge oblike študija</w:t>
            </w:r>
          </w:p>
        </w:tc>
        <w:tc>
          <w:tcPr>
            <w:tcW w:w="1417" w:type="dxa"/>
            <w:gridSpan w:val="2"/>
            <w:tcBorders>
              <w:top w:val="nil"/>
              <w:left w:val="nil"/>
              <w:bottom w:val="single" w:sz="4" w:space="0" w:color="auto"/>
              <w:right w:val="nil"/>
            </w:tcBorders>
            <w:vAlign w:val="center"/>
          </w:tcPr>
          <w:p w14:paraId="0A11ADE6"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Samost. delo</w:t>
            </w:r>
          </w:p>
          <w:p w14:paraId="6348F771"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Individ. work</w:t>
            </w:r>
          </w:p>
        </w:tc>
        <w:tc>
          <w:tcPr>
            <w:tcW w:w="132" w:type="dxa"/>
            <w:vAlign w:val="center"/>
          </w:tcPr>
          <w:p w14:paraId="01498E4F" w14:textId="77777777" w:rsidR="00857E48" w:rsidRPr="00F340F3" w:rsidRDefault="00857E48" w:rsidP="00A66FBE">
            <w:pPr>
              <w:jc w:val="center"/>
              <w:rPr>
                <w:rFonts w:ascii="Arial" w:hAnsi="Arial" w:cs="Arial"/>
                <w:b/>
                <w:bCs/>
                <w:sz w:val="22"/>
                <w:szCs w:val="22"/>
              </w:rPr>
            </w:pPr>
          </w:p>
        </w:tc>
        <w:tc>
          <w:tcPr>
            <w:tcW w:w="1068" w:type="dxa"/>
            <w:tcBorders>
              <w:top w:val="nil"/>
              <w:left w:val="nil"/>
              <w:bottom w:val="single" w:sz="4" w:space="0" w:color="auto"/>
              <w:right w:val="nil"/>
            </w:tcBorders>
            <w:vAlign w:val="center"/>
          </w:tcPr>
          <w:p w14:paraId="7DE52185" w14:textId="77777777" w:rsidR="00857E48" w:rsidRPr="00F340F3" w:rsidRDefault="00857E48" w:rsidP="00A66FBE">
            <w:pPr>
              <w:jc w:val="center"/>
              <w:rPr>
                <w:rFonts w:ascii="Arial" w:hAnsi="Arial" w:cs="Arial"/>
                <w:b/>
                <w:sz w:val="22"/>
                <w:szCs w:val="22"/>
              </w:rPr>
            </w:pPr>
            <w:r w:rsidRPr="00F340F3">
              <w:rPr>
                <w:rFonts w:ascii="Arial" w:hAnsi="Arial" w:cs="Arial"/>
                <w:b/>
                <w:sz w:val="22"/>
                <w:szCs w:val="22"/>
              </w:rPr>
              <w:t>ECTS</w:t>
            </w:r>
          </w:p>
        </w:tc>
      </w:tr>
      <w:tr w:rsidR="00857E48" w:rsidRPr="00F340F3" w14:paraId="2C5ECA46" w14:textId="77777777" w:rsidTr="001508B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7B0286C6" w14:textId="27D94492" w:rsidR="00857E48" w:rsidRPr="00F340F3" w:rsidRDefault="00461F3F" w:rsidP="00660868">
            <w:pPr>
              <w:jc w:val="center"/>
              <w:rPr>
                <w:rFonts w:ascii="Arial" w:hAnsi="Arial" w:cs="Arial"/>
                <w:b/>
                <w:bCs/>
                <w:sz w:val="22"/>
                <w:szCs w:val="22"/>
              </w:rPr>
            </w:pPr>
            <w:r>
              <w:rPr>
                <w:rFonts w:ascii="Arial" w:hAnsi="Arial" w:cs="Arial"/>
                <w:b/>
                <w:bCs/>
                <w:sz w:val="22"/>
                <w:szCs w:val="22"/>
              </w:rPr>
              <w:t>10</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2AF95437" w14:textId="55286D3B" w:rsidR="00857E48" w:rsidRPr="00F340F3" w:rsidRDefault="00461F3F" w:rsidP="00A66FBE">
            <w:pPr>
              <w:jc w:val="center"/>
              <w:rPr>
                <w:rFonts w:ascii="Arial" w:hAnsi="Arial" w:cs="Arial"/>
                <w:b/>
                <w:bCs/>
                <w:sz w:val="22"/>
                <w:szCs w:val="22"/>
              </w:rPr>
            </w:pPr>
            <w:r>
              <w:rPr>
                <w:rFonts w:ascii="Arial" w:hAnsi="Arial" w:cs="Arial"/>
                <w:b/>
                <w:bCs/>
                <w:sz w:val="22"/>
                <w:szCs w:val="22"/>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A20863E" w14:textId="0AF34242" w:rsidR="00857E48" w:rsidRPr="00F340F3" w:rsidRDefault="00461F3F" w:rsidP="00A66FBE">
            <w:pPr>
              <w:jc w:val="center"/>
              <w:rPr>
                <w:rFonts w:ascii="Arial" w:hAnsi="Arial" w:cs="Arial"/>
                <w:b/>
                <w:bCs/>
                <w:sz w:val="22"/>
                <w:szCs w:val="22"/>
              </w:rPr>
            </w:pPr>
            <w:r>
              <w:rPr>
                <w:rFonts w:ascii="Arial" w:hAnsi="Arial" w:cs="Arial"/>
                <w:b/>
                <w:bCs/>
                <w:sz w:val="22"/>
                <w:szCs w:val="22"/>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CCABE36" w14:textId="77777777" w:rsidR="00857E48" w:rsidRPr="00F340F3" w:rsidRDefault="00857E48" w:rsidP="00A66FBE">
            <w:pPr>
              <w:jc w:val="center"/>
              <w:rPr>
                <w:rFonts w:ascii="Arial" w:hAnsi="Arial" w:cs="Arial"/>
                <w:b/>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8EFCE3F" w14:textId="30FB00AC" w:rsidR="00857E48" w:rsidRPr="00F340F3" w:rsidRDefault="00857E48" w:rsidP="00A66FBE">
            <w:pPr>
              <w:jc w:val="center"/>
              <w:rPr>
                <w:rFonts w:ascii="Arial" w:hAnsi="Arial" w:cs="Arial"/>
                <w:b/>
                <w:bCs/>
                <w:sz w:val="22"/>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2C81C4F" w14:textId="77777777" w:rsidR="00857E48" w:rsidRPr="00F340F3" w:rsidRDefault="00466374" w:rsidP="00A66FBE">
            <w:pPr>
              <w:jc w:val="center"/>
              <w:rPr>
                <w:rFonts w:ascii="Arial" w:hAnsi="Arial" w:cs="Arial"/>
                <w:b/>
                <w:bCs/>
                <w:sz w:val="22"/>
                <w:szCs w:val="22"/>
              </w:rPr>
            </w:pPr>
            <w:r w:rsidRPr="00F340F3">
              <w:rPr>
                <w:rFonts w:ascii="Arial" w:hAnsi="Arial" w:cs="Arial"/>
                <w:b/>
                <w:bCs/>
                <w:sz w:val="22"/>
                <w:szCs w:val="22"/>
              </w:rPr>
              <w:t>6</w:t>
            </w:r>
            <w:r w:rsidR="00BE1068" w:rsidRPr="00F340F3">
              <w:rPr>
                <w:rFonts w:ascii="Arial" w:hAnsi="Arial" w:cs="Arial"/>
                <w:b/>
                <w:bCs/>
                <w:sz w:val="22"/>
                <w:szCs w:val="22"/>
              </w:rPr>
              <w:t>0</w:t>
            </w:r>
          </w:p>
        </w:tc>
        <w:tc>
          <w:tcPr>
            <w:tcW w:w="132" w:type="dxa"/>
            <w:tcBorders>
              <w:top w:val="nil"/>
              <w:left w:val="single" w:sz="4" w:space="0" w:color="auto"/>
              <w:bottom w:val="nil"/>
              <w:right w:val="single" w:sz="4" w:space="0" w:color="auto"/>
            </w:tcBorders>
            <w:vAlign w:val="center"/>
          </w:tcPr>
          <w:p w14:paraId="51F2B8DF" w14:textId="77777777" w:rsidR="00857E48" w:rsidRPr="00F340F3" w:rsidRDefault="00857E48" w:rsidP="00A66FBE">
            <w:pPr>
              <w:jc w:val="center"/>
              <w:rPr>
                <w:rFonts w:ascii="Arial" w:hAnsi="Arial" w:cs="Arial"/>
                <w:b/>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14:paraId="67AB295D" w14:textId="77777777" w:rsidR="00857E48" w:rsidRPr="00F340F3" w:rsidRDefault="00466374" w:rsidP="00A66FBE">
            <w:pPr>
              <w:jc w:val="center"/>
              <w:rPr>
                <w:rFonts w:ascii="Arial" w:hAnsi="Arial" w:cs="Arial"/>
                <w:b/>
                <w:bCs/>
                <w:sz w:val="22"/>
                <w:szCs w:val="22"/>
              </w:rPr>
            </w:pPr>
            <w:r w:rsidRPr="00F340F3">
              <w:rPr>
                <w:rFonts w:ascii="Arial" w:hAnsi="Arial" w:cs="Arial"/>
                <w:b/>
                <w:bCs/>
                <w:sz w:val="22"/>
                <w:szCs w:val="22"/>
              </w:rPr>
              <w:t>4</w:t>
            </w:r>
          </w:p>
        </w:tc>
      </w:tr>
      <w:tr w:rsidR="00857E48" w:rsidRPr="00F340F3" w14:paraId="6FF66A27" w14:textId="77777777" w:rsidTr="001508BD">
        <w:tc>
          <w:tcPr>
            <w:tcW w:w="9690" w:type="dxa"/>
            <w:gridSpan w:val="18"/>
          </w:tcPr>
          <w:p w14:paraId="4B82B213" w14:textId="77777777" w:rsidR="00857E48" w:rsidRPr="00F340F3" w:rsidRDefault="00857E48" w:rsidP="00A66FBE">
            <w:pPr>
              <w:rPr>
                <w:rFonts w:ascii="Arial" w:hAnsi="Arial" w:cs="Arial"/>
                <w:b/>
                <w:bCs/>
                <w:sz w:val="22"/>
                <w:szCs w:val="22"/>
              </w:rPr>
            </w:pPr>
          </w:p>
        </w:tc>
      </w:tr>
      <w:tr w:rsidR="00857E48" w:rsidRPr="00F340F3" w14:paraId="256A6F7B" w14:textId="77777777" w:rsidTr="001508BD">
        <w:tc>
          <w:tcPr>
            <w:tcW w:w="3307" w:type="dxa"/>
            <w:gridSpan w:val="5"/>
          </w:tcPr>
          <w:p w14:paraId="5B533F8B" w14:textId="77777777" w:rsidR="00857E48" w:rsidRPr="00F340F3" w:rsidRDefault="00857E48" w:rsidP="00A66FBE">
            <w:pPr>
              <w:rPr>
                <w:rFonts w:ascii="Arial" w:hAnsi="Arial" w:cs="Arial"/>
                <w:b/>
                <w:sz w:val="22"/>
                <w:szCs w:val="22"/>
              </w:rPr>
            </w:pPr>
            <w:r w:rsidRPr="00F340F3">
              <w:rPr>
                <w:rFonts w:ascii="Arial" w:hAnsi="Arial" w:cs="Arial"/>
                <w:b/>
                <w:sz w:val="22"/>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14:paraId="23B9AE8F" w14:textId="6C881344" w:rsidR="00857E48" w:rsidRPr="00F340F3" w:rsidRDefault="001508BD" w:rsidP="00A66FBE">
            <w:pPr>
              <w:rPr>
                <w:rFonts w:ascii="Arial" w:hAnsi="Arial" w:cs="Arial"/>
                <w:sz w:val="22"/>
                <w:szCs w:val="22"/>
              </w:rPr>
            </w:pPr>
            <w:bookmarkStart w:id="2" w:name="Predavatelj"/>
            <w:bookmarkEnd w:id="2"/>
            <w:r>
              <w:rPr>
                <w:rFonts w:ascii="Arial" w:hAnsi="Arial" w:cs="Arial"/>
                <w:sz w:val="22"/>
                <w:szCs w:val="22"/>
              </w:rPr>
              <w:t>doc.</w:t>
            </w:r>
            <w:r w:rsidR="00A030AE">
              <w:rPr>
                <w:rFonts w:ascii="Arial" w:hAnsi="Arial" w:cs="Arial"/>
                <w:sz w:val="22"/>
                <w:szCs w:val="22"/>
              </w:rPr>
              <w:t xml:space="preserve"> </w:t>
            </w:r>
            <w:r w:rsidR="00B90730" w:rsidRPr="00F340F3">
              <w:rPr>
                <w:rFonts w:ascii="Arial" w:hAnsi="Arial" w:cs="Arial"/>
                <w:sz w:val="22"/>
                <w:szCs w:val="22"/>
              </w:rPr>
              <w:t xml:space="preserve">dr. </w:t>
            </w:r>
            <w:r>
              <w:rPr>
                <w:rFonts w:ascii="Arial" w:hAnsi="Arial" w:cs="Arial"/>
                <w:sz w:val="22"/>
                <w:szCs w:val="22"/>
              </w:rPr>
              <w:t>Andrej Kristan</w:t>
            </w:r>
          </w:p>
        </w:tc>
      </w:tr>
      <w:tr w:rsidR="00857E48" w:rsidRPr="00F340F3" w14:paraId="5A7C715C" w14:textId="77777777" w:rsidTr="001508BD">
        <w:tc>
          <w:tcPr>
            <w:tcW w:w="9690" w:type="dxa"/>
            <w:gridSpan w:val="18"/>
          </w:tcPr>
          <w:p w14:paraId="7F4378C1" w14:textId="77777777" w:rsidR="00857E48" w:rsidRPr="00F340F3" w:rsidRDefault="00857E48" w:rsidP="00A66FBE">
            <w:pPr>
              <w:jc w:val="both"/>
              <w:rPr>
                <w:rFonts w:ascii="Arial" w:hAnsi="Arial" w:cs="Arial"/>
                <w:sz w:val="22"/>
                <w:szCs w:val="22"/>
              </w:rPr>
            </w:pPr>
          </w:p>
        </w:tc>
      </w:tr>
      <w:tr w:rsidR="00857E48" w:rsidRPr="00F340F3" w14:paraId="709A532E" w14:textId="77777777" w:rsidTr="001508BD">
        <w:tc>
          <w:tcPr>
            <w:tcW w:w="1641" w:type="dxa"/>
            <w:gridSpan w:val="2"/>
            <w:vMerge w:val="restart"/>
          </w:tcPr>
          <w:p w14:paraId="7315A9F7" w14:textId="77777777" w:rsidR="00857E48" w:rsidRPr="00F340F3" w:rsidRDefault="00857E48" w:rsidP="00A66FBE">
            <w:pPr>
              <w:rPr>
                <w:rFonts w:ascii="Arial" w:hAnsi="Arial" w:cs="Arial"/>
                <w:b/>
                <w:sz w:val="22"/>
                <w:szCs w:val="22"/>
              </w:rPr>
            </w:pPr>
            <w:r w:rsidRPr="00F340F3">
              <w:rPr>
                <w:rFonts w:ascii="Arial" w:hAnsi="Arial" w:cs="Arial"/>
                <w:b/>
                <w:sz w:val="22"/>
                <w:szCs w:val="22"/>
              </w:rPr>
              <w:t xml:space="preserve">Jeziki / </w:t>
            </w:r>
          </w:p>
          <w:p w14:paraId="212656E1" w14:textId="77777777" w:rsidR="00857E48" w:rsidRPr="00F340F3" w:rsidRDefault="00857E48" w:rsidP="00A66FBE">
            <w:pPr>
              <w:rPr>
                <w:rFonts w:ascii="Arial" w:hAnsi="Arial" w:cs="Arial"/>
                <w:sz w:val="22"/>
                <w:szCs w:val="22"/>
              </w:rPr>
            </w:pPr>
            <w:r w:rsidRPr="00F340F3">
              <w:rPr>
                <w:rFonts w:ascii="Arial" w:hAnsi="Arial" w:cs="Arial"/>
                <w:b/>
                <w:sz w:val="22"/>
                <w:szCs w:val="22"/>
              </w:rPr>
              <w:t>Languages:</w:t>
            </w:r>
          </w:p>
        </w:tc>
        <w:tc>
          <w:tcPr>
            <w:tcW w:w="2241" w:type="dxa"/>
            <w:gridSpan w:val="4"/>
          </w:tcPr>
          <w:p w14:paraId="56DFA9D0" w14:textId="77777777" w:rsidR="00857E48" w:rsidRPr="00F340F3" w:rsidRDefault="00857E48" w:rsidP="00A66FBE">
            <w:pPr>
              <w:jc w:val="right"/>
              <w:rPr>
                <w:rFonts w:ascii="Arial" w:hAnsi="Arial" w:cs="Arial"/>
                <w:b/>
                <w:sz w:val="22"/>
                <w:szCs w:val="22"/>
              </w:rPr>
            </w:pPr>
            <w:r w:rsidRPr="00F340F3">
              <w:rPr>
                <w:rFonts w:ascii="Arial" w:hAnsi="Arial" w:cs="Arial"/>
                <w:b/>
                <w:sz w:val="22"/>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5D82739E" w14:textId="77777777" w:rsidR="00857E48" w:rsidRPr="00F340F3" w:rsidRDefault="00BE1068" w:rsidP="00A66FBE">
            <w:pPr>
              <w:jc w:val="both"/>
              <w:rPr>
                <w:rFonts w:ascii="Arial" w:hAnsi="Arial" w:cs="Arial"/>
                <w:b/>
                <w:bCs/>
                <w:sz w:val="22"/>
                <w:szCs w:val="22"/>
              </w:rPr>
            </w:pPr>
            <w:bookmarkStart w:id="3" w:name="Jezik"/>
            <w:bookmarkEnd w:id="3"/>
            <w:r w:rsidRPr="00F340F3">
              <w:rPr>
                <w:rFonts w:ascii="Arial" w:hAnsi="Arial" w:cs="Arial"/>
                <w:b/>
                <w:bCs/>
                <w:sz w:val="22"/>
                <w:szCs w:val="22"/>
              </w:rPr>
              <w:t>slovenski / Slovenian</w:t>
            </w:r>
          </w:p>
        </w:tc>
      </w:tr>
      <w:tr w:rsidR="00857E48" w:rsidRPr="00F340F3" w14:paraId="77631FB8" w14:textId="77777777" w:rsidTr="001508BD">
        <w:trPr>
          <w:trHeight w:val="215"/>
        </w:trPr>
        <w:tc>
          <w:tcPr>
            <w:tcW w:w="1641" w:type="dxa"/>
            <w:gridSpan w:val="2"/>
            <w:vMerge/>
            <w:vAlign w:val="center"/>
          </w:tcPr>
          <w:p w14:paraId="6B76034B" w14:textId="77777777" w:rsidR="00857E48" w:rsidRPr="00F340F3" w:rsidRDefault="00857E48" w:rsidP="00A66FBE">
            <w:pPr>
              <w:rPr>
                <w:rFonts w:ascii="Arial" w:hAnsi="Arial" w:cs="Arial"/>
                <w:b/>
                <w:bCs/>
                <w:sz w:val="22"/>
                <w:szCs w:val="22"/>
              </w:rPr>
            </w:pPr>
          </w:p>
        </w:tc>
        <w:tc>
          <w:tcPr>
            <w:tcW w:w="2241" w:type="dxa"/>
            <w:gridSpan w:val="4"/>
          </w:tcPr>
          <w:p w14:paraId="2969508E" w14:textId="77777777" w:rsidR="00857E48" w:rsidRPr="00F340F3" w:rsidRDefault="00857E48" w:rsidP="00A66FBE">
            <w:pPr>
              <w:jc w:val="right"/>
              <w:rPr>
                <w:rFonts w:ascii="Arial" w:hAnsi="Arial" w:cs="Arial"/>
                <w:b/>
                <w:sz w:val="22"/>
                <w:szCs w:val="22"/>
              </w:rPr>
            </w:pPr>
            <w:r w:rsidRPr="00F340F3">
              <w:rPr>
                <w:rFonts w:ascii="Arial" w:hAnsi="Arial" w:cs="Arial"/>
                <w:b/>
                <w:sz w:val="22"/>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48441840" w14:textId="77777777" w:rsidR="00857E48" w:rsidRPr="00F340F3" w:rsidRDefault="00BE1068" w:rsidP="00A66FBE">
            <w:pPr>
              <w:jc w:val="both"/>
              <w:rPr>
                <w:rFonts w:ascii="Arial" w:hAnsi="Arial" w:cs="Arial"/>
                <w:b/>
                <w:bCs/>
                <w:sz w:val="22"/>
                <w:szCs w:val="22"/>
              </w:rPr>
            </w:pPr>
            <w:bookmarkStart w:id="4" w:name="JezikV"/>
            <w:bookmarkEnd w:id="4"/>
            <w:r w:rsidRPr="00F340F3">
              <w:rPr>
                <w:rFonts w:ascii="Arial" w:hAnsi="Arial" w:cs="Arial"/>
                <w:b/>
                <w:bCs/>
                <w:sz w:val="22"/>
                <w:szCs w:val="22"/>
              </w:rPr>
              <w:t>slovenski / Slovenian</w:t>
            </w:r>
          </w:p>
        </w:tc>
      </w:tr>
      <w:tr w:rsidR="00857E48" w:rsidRPr="00F340F3" w14:paraId="0945E2B5" w14:textId="77777777" w:rsidTr="001508BD">
        <w:tc>
          <w:tcPr>
            <w:tcW w:w="4728" w:type="dxa"/>
            <w:gridSpan w:val="9"/>
            <w:tcBorders>
              <w:top w:val="nil"/>
              <w:left w:val="nil"/>
              <w:bottom w:val="single" w:sz="4" w:space="0" w:color="auto"/>
              <w:right w:val="nil"/>
            </w:tcBorders>
          </w:tcPr>
          <w:p w14:paraId="30C4D932" w14:textId="77777777" w:rsidR="00857E48" w:rsidRPr="00F340F3" w:rsidRDefault="00857E48" w:rsidP="00A66FBE">
            <w:pPr>
              <w:rPr>
                <w:rFonts w:ascii="Arial" w:hAnsi="Arial" w:cs="Arial"/>
                <w:b/>
                <w:bCs/>
                <w:sz w:val="22"/>
                <w:szCs w:val="22"/>
              </w:rPr>
            </w:pPr>
          </w:p>
          <w:p w14:paraId="0ACD16AE" w14:textId="77777777" w:rsidR="00857E48" w:rsidRPr="00F340F3" w:rsidRDefault="00857E48" w:rsidP="00A66FBE">
            <w:pPr>
              <w:rPr>
                <w:rFonts w:ascii="Arial" w:hAnsi="Arial" w:cs="Arial"/>
                <w:b/>
                <w:sz w:val="22"/>
                <w:szCs w:val="22"/>
              </w:rPr>
            </w:pPr>
            <w:r w:rsidRPr="00F340F3">
              <w:rPr>
                <w:rFonts w:ascii="Arial" w:hAnsi="Arial" w:cs="Arial"/>
                <w:b/>
                <w:sz w:val="22"/>
                <w:szCs w:val="22"/>
              </w:rPr>
              <w:t>Pogoji za vključitev v delo oz. za opravljanje študijskih obveznosti:</w:t>
            </w:r>
          </w:p>
        </w:tc>
        <w:tc>
          <w:tcPr>
            <w:tcW w:w="142" w:type="dxa"/>
          </w:tcPr>
          <w:p w14:paraId="78EBB792" w14:textId="77777777" w:rsidR="00857E48" w:rsidRPr="00F340F3" w:rsidRDefault="00857E48" w:rsidP="00A66FBE">
            <w:pPr>
              <w:rPr>
                <w:rFonts w:ascii="Arial" w:hAnsi="Arial" w:cs="Arial"/>
                <w:b/>
                <w:sz w:val="22"/>
                <w:szCs w:val="22"/>
              </w:rPr>
            </w:pPr>
          </w:p>
          <w:p w14:paraId="05EE5C3F" w14:textId="77777777" w:rsidR="00857E48" w:rsidRPr="00F340F3" w:rsidRDefault="00857E48" w:rsidP="00A66FBE">
            <w:pPr>
              <w:rPr>
                <w:rFonts w:ascii="Arial" w:hAnsi="Arial" w:cs="Arial"/>
                <w:b/>
                <w:sz w:val="22"/>
                <w:szCs w:val="22"/>
              </w:rPr>
            </w:pPr>
          </w:p>
        </w:tc>
        <w:tc>
          <w:tcPr>
            <w:tcW w:w="4820" w:type="dxa"/>
            <w:gridSpan w:val="8"/>
            <w:tcBorders>
              <w:top w:val="nil"/>
              <w:left w:val="nil"/>
              <w:bottom w:val="single" w:sz="4" w:space="0" w:color="auto"/>
              <w:right w:val="nil"/>
            </w:tcBorders>
          </w:tcPr>
          <w:p w14:paraId="24558846" w14:textId="77777777" w:rsidR="00857E48" w:rsidRPr="00F340F3" w:rsidRDefault="00857E48" w:rsidP="00A66FBE">
            <w:pPr>
              <w:rPr>
                <w:rFonts w:ascii="Arial" w:hAnsi="Arial" w:cs="Arial"/>
                <w:b/>
                <w:sz w:val="22"/>
                <w:szCs w:val="22"/>
              </w:rPr>
            </w:pPr>
          </w:p>
          <w:p w14:paraId="00599F6E" w14:textId="77777777" w:rsidR="00857E48" w:rsidRPr="00F340F3" w:rsidRDefault="00857E48" w:rsidP="00A66FBE">
            <w:pPr>
              <w:rPr>
                <w:rFonts w:ascii="Arial" w:hAnsi="Arial" w:cs="Arial"/>
                <w:b/>
                <w:sz w:val="22"/>
                <w:szCs w:val="22"/>
              </w:rPr>
            </w:pPr>
            <w:r w:rsidRPr="00F340F3">
              <w:rPr>
                <w:rFonts w:ascii="Arial" w:hAnsi="Arial" w:cs="Arial"/>
                <w:b/>
                <w:sz w:val="22"/>
                <w:szCs w:val="22"/>
              </w:rPr>
              <w:t>Prerequisit</w:t>
            </w:r>
            <w:r w:rsidR="00AC4179" w:rsidRPr="00F340F3">
              <w:rPr>
                <w:rFonts w:ascii="Arial" w:hAnsi="Arial" w:cs="Arial"/>
                <w:b/>
                <w:sz w:val="22"/>
                <w:szCs w:val="22"/>
              </w:rPr>
              <w:t>e</w:t>
            </w:r>
            <w:r w:rsidRPr="00F340F3">
              <w:rPr>
                <w:rFonts w:ascii="Arial" w:hAnsi="Arial" w:cs="Arial"/>
                <w:b/>
                <w:sz w:val="22"/>
                <w:szCs w:val="22"/>
              </w:rPr>
              <w:t>s:</w:t>
            </w:r>
          </w:p>
        </w:tc>
      </w:tr>
      <w:tr w:rsidR="00857E48" w:rsidRPr="00F340F3" w14:paraId="4C5DE299" w14:textId="77777777" w:rsidTr="001508BD">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5916DF85" w14:textId="77777777" w:rsidR="00DC0971" w:rsidRPr="00F340F3" w:rsidRDefault="00DC0971" w:rsidP="00BE1068">
            <w:pPr>
              <w:rPr>
                <w:rFonts w:ascii="Arial" w:hAnsi="Arial" w:cs="Arial"/>
                <w:sz w:val="22"/>
                <w:szCs w:val="22"/>
              </w:rPr>
            </w:pPr>
          </w:p>
          <w:p w14:paraId="5D89C826" w14:textId="77777777" w:rsidR="001928FE" w:rsidRPr="00F340F3" w:rsidRDefault="00663C55" w:rsidP="00BE1068">
            <w:pPr>
              <w:rPr>
                <w:rFonts w:ascii="Arial" w:hAnsi="Arial" w:cs="Arial"/>
                <w:sz w:val="22"/>
                <w:szCs w:val="22"/>
              </w:rPr>
            </w:pPr>
            <w:r w:rsidRPr="00F340F3">
              <w:rPr>
                <w:rFonts w:ascii="Arial" w:hAnsi="Arial" w:cs="Arial"/>
                <w:sz w:val="22"/>
                <w:szCs w:val="22"/>
              </w:rPr>
              <w:t>Ni posebnih pogojev.</w:t>
            </w:r>
          </w:p>
        </w:tc>
        <w:tc>
          <w:tcPr>
            <w:tcW w:w="142" w:type="dxa"/>
            <w:tcBorders>
              <w:top w:val="nil"/>
              <w:left w:val="single" w:sz="4" w:space="0" w:color="auto"/>
              <w:bottom w:val="nil"/>
              <w:right w:val="single" w:sz="4" w:space="0" w:color="auto"/>
            </w:tcBorders>
          </w:tcPr>
          <w:p w14:paraId="09D0385E" w14:textId="77777777" w:rsidR="00857E48" w:rsidRPr="00F340F3" w:rsidRDefault="00857E48" w:rsidP="00A66FBE">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140F2A78" w14:textId="77777777" w:rsidR="00857E48" w:rsidRPr="00F340F3" w:rsidRDefault="00857E48" w:rsidP="00001F4C">
            <w:pPr>
              <w:rPr>
                <w:rFonts w:ascii="Arial" w:hAnsi="Arial" w:cs="Arial"/>
                <w:sz w:val="22"/>
                <w:szCs w:val="22"/>
              </w:rPr>
            </w:pPr>
          </w:p>
          <w:p w14:paraId="24DCF98A" w14:textId="77777777" w:rsidR="00663C55" w:rsidRPr="00F340F3" w:rsidRDefault="00663C55" w:rsidP="00663C55">
            <w:pPr>
              <w:rPr>
                <w:rFonts w:ascii="Arial" w:hAnsi="Arial" w:cs="Arial"/>
                <w:sz w:val="22"/>
                <w:szCs w:val="22"/>
                <w:lang w:val="en-GB"/>
              </w:rPr>
            </w:pPr>
            <w:r w:rsidRPr="00F340F3">
              <w:rPr>
                <w:rFonts w:ascii="Arial" w:hAnsi="Arial" w:cs="Arial"/>
                <w:sz w:val="22"/>
                <w:szCs w:val="22"/>
                <w:lang w:val="en-GB"/>
              </w:rPr>
              <w:t>No special prerequisites.</w:t>
            </w:r>
          </w:p>
        </w:tc>
      </w:tr>
      <w:tr w:rsidR="00857E48" w:rsidRPr="00F340F3" w14:paraId="1B5FD632" w14:textId="77777777" w:rsidTr="001508BD">
        <w:trPr>
          <w:trHeight w:val="137"/>
        </w:trPr>
        <w:tc>
          <w:tcPr>
            <w:tcW w:w="4718" w:type="dxa"/>
            <w:gridSpan w:val="8"/>
            <w:tcBorders>
              <w:top w:val="nil"/>
              <w:left w:val="nil"/>
              <w:bottom w:val="single" w:sz="4" w:space="0" w:color="auto"/>
              <w:right w:val="nil"/>
            </w:tcBorders>
          </w:tcPr>
          <w:p w14:paraId="48CADBA7" w14:textId="77777777" w:rsidR="00857E48" w:rsidRPr="00F340F3" w:rsidRDefault="00857E48" w:rsidP="00A66FBE">
            <w:pPr>
              <w:rPr>
                <w:rFonts w:ascii="Arial" w:hAnsi="Arial" w:cs="Arial"/>
                <w:b/>
                <w:sz w:val="22"/>
                <w:szCs w:val="22"/>
              </w:rPr>
            </w:pPr>
          </w:p>
          <w:p w14:paraId="295967DE" w14:textId="77777777" w:rsidR="00857E48" w:rsidRPr="00F340F3" w:rsidRDefault="00857E48" w:rsidP="00A66FBE">
            <w:pPr>
              <w:rPr>
                <w:rFonts w:ascii="Arial" w:hAnsi="Arial" w:cs="Arial"/>
                <w:b/>
                <w:sz w:val="22"/>
                <w:szCs w:val="22"/>
              </w:rPr>
            </w:pPr>
            <w:r w:rsidRPr="00F340F3">
              <w:rPr>
                <w:rFonts w:ascii="Arial" w:hAnsi="Arial" w:cs="Arial"/>
                <w:b/>
                <w:sz w:val="22"/>
                <w:szCs w:val="22"/>
              </w:rPr>
              <w:t>Vsebina:</w:t>
            </w:r>
            <w:r w:rsidRPr="00F340F3">
              <w:rPr>
                <w:rFonts w:ascii="Arial" w:hAnsi="Arial" w:cs="Arial"/>
                <w:sz w:val="22"/>
                <w:szCs w:val="22"/>
              </w:rPr>
              <w:t xml:space="preserve"> </w:t>
            </w:r>
          </w:p>
        </w:tc>
        <w:tc>
          <w:tcPr>
            <w:tcW w:w="152" w:type="dxa"/>
            <w:gridSpan w:val="2"/>
          </w:tcPr>
          <w:p w14:paraId="65F26D16" w14:textId="77777777" w:rsidR="00857E48" w:rsidRPr="00F340F3" w:rsidRDefault="00857E48" w:rsidP="00A66FBE">
            <w:pPr>
              <w:rPr>
                <w:rFonts w:ascii="Arial" w:hAnsi="Arial" w:cs="Arial"/>
                <w:b/>
                <w:sz w:val="22"/>
                <w:szCs w:val="22"/>
              </w:rPr>
            </w:pPr>
          </w:p>
        </w:tc>
        <w:tc>
          <w:tcPr>
            <w:tcW w:w="4820" w:type="dxa"/>
            <w:gridSpan w:val="8"/>
            <w:tcBorders>
              <w:top w:val="nil"/>
              <w:left w:val="nil"/>
              <w:bottom w:val="single" w:sz="4" w:space="0" w:color="auto"/>
              <w:right w:val="nil"/>
            </w:tcBorders>
          </w:tcPr>
          <w:p w14:paraId="204FE319" w14:textId="77777777" w:rsidR="00857E48" w:rsidRPr="00F340F3" w:rsidRDefault="00857E48" w:rsidP="00A66FBE">
            <w:pPr>
              <w:rPr>
                <w:rFonts w:ascii="Arial" w:hAnsi="Arial" w:cs="Arial"/>
                <w:b/>
                <w:sz w:val="22"/>
                <w:szCs w:val="22"/>
              </w:rPr>
            </w:pPr>
          </w:p>
          <w:p w14:paraId="33C80475" w14:textId="77777777" w:rsidR="00857E48" w:rsidRPr="00F340F3" w:rsidRDefault="00857E48" w:rsidP="00A66FBE">
            <w:pPr>
              <w:rPr>
                <w:rFonts w:ascii="Arial" w:hAnsi="Arial" w:cs="Arial"/>
                <w:b/>
                <w:sz w:val="22"/>
                <w:szCs w:val="22"/>
              </w:rPr>
            </w:pPr>
            <w:r w:rsidRPr="00F340F3">
              <w:rPr>
                <w:rFonts w:ascii="Arial" w:hAnsi="Arial" w:cs="Arial"/>
                <w:b/>
                <w:sz w:val="22"/>
                <w:szCs w:val="22"/>
              </w:rPr>
              <w:t>Content (Syllabus outline):</w:t>
            </w:r>
          </w:p>
        </w:tc>
      </w:tr>
      <w:tr w:rsidR="001508BD" w:rsidRPr="00F340F3" w14:paraId="6BF14B34" w14:textId="77777777" w:rsidTr="001508BD">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42CC6597" w14:textId="77777777" w:rsidR="001508BD" w:rsidRDefault="001508BD" w:rsidP="001508BD">
            <w:pPr>
              <w:jc w:val="both"/>
            </w:pPr>
          </w:p>
          <w:p w14:paraId="19877FD5" w14:textId="46140FDC" w:rsidR="001508BD" w:rsidRPr="00F340F3" w:rsidRDefault="001508BD" w:rsidP="001508BD">
            <w:pPr>
              <w:rPr>
                <w:rFonts w:ascii="Arial" w:hAnsi="Arial" w:cs="Arial"/>
                <w:sz w:val="22"/>
                <w:szCs w:val="22"/>
              </w:rPr>
            </w:pPr>
            <w:r w:rsidRPr="00725D90">
              <w:rPr>
                <w:noProof/>
              </w:rPr>
              <w:t>Pri tem predmetu se študentke in študentje posvetijo razčlenitvi in oblikovanju pravnih argumentov za namene sodnega odločanja, javnega razpravljanja ali učene obravnave izbranega vprašanja. Ob seznanitvi s pojmovnimi orodji</w:t>
            </w:r>
            <w:r w:rsidR="00075AEE">
              <w:rPr>
                <w:noProof/>
              </w:rPr>
              <w:t xml:space="preserve"> </w:t>
            </w:r>
            <w:r w:rsidR="00075AEE">
              <w:rPr>
                <w:rFonts w:cs="Calibri"/>
              </w:rPr>
              <w:t>in umetnointeligenčnimi primopočki</w:t>
            </w:r>
            <w:r w:rsidRPr="00725D90">
              <w:rPr>
                <w:noProof/>
              </w:rPr>
              <w:t xml:space="preserve">, ki omogočajo kritično razčlenitev in učinkovito oblikovanje pravnih argumentov, </w:t>
            </w:r>
            <w:r w:rsidRPr="00725D90">
              <w:rPr>
                <w:noProof/>
              </w:rPr>
              <w:lastRenderedPageBreak/>
              <w:t>zato dobijo tudi praktične napotke za njihovo posredovanje v pisni obliki. Ker predmet cilja na usvojitev spretnosti, je njegova izvedba sestavljena iz nalog, ki se večkrat ponovijo v naslednjem vrstnem redu. Najprej morajo študentje in študentke proučiti in povzeti krajše besedilo, ki vsebuje pravn</w:t>
            </w:r>
            <w:r>
              <w:rPr>
                <w:noProof/>
              </w:rPr>
              <w:t>o argumentacijo. To</w:t>
            </w:r>
            <w:r w:rsidRPr="00725D90">
              <w:rPr>
                <w:noProof/>
              </w:rPr>
              <w:t xml:space="preserve"> potem skupaj kritično razčlenimo tako z oblikovnega kot vsebinskega vidika. V naslednjem koraku morajo študentke in študentje </w:t>
            </w:r>
            <w:r>
              <w:rPr>
                <w:noProof/>
              </w:rPr>
              <w:t>strnjeno poustvariti obravnavano</w:t>
            </w:r>
            <w:r w:rsidRPr="00725D90">
              <w:rPr>
                <w:noProof/>
              </w:rPr>
              <w:t xml:space="preserve"> argument</w:t>
            </w:r>
            <w:r>
              <w:rPr>
                <w:noProof/>
              </w:rPr>
              <w:t>acijo</w:t>
            </w:r>
            <w:r w:rsidRPr="00725D90">
              <w:rPr>
                <w:noProof/>
              </w:rPr>
              <w:t xml:space="preserve">, tako da v čim večji meri odpravijo predhodno izpostavljene </w:t>
            </w:r>
            <w:r>
              <w:rPr>
                <w:noProof/>
              </w:rPr>
              <w:t>šibkosti</w:t>
            </w:r>
            <w:r w:rsidRPr="00725D90">
              <w:rPr>
                <w:noProof/>
              </w:rPr>
              <w:t xml:space="preserve"> izvirnika. Končno pa morajo pisno zasnovati še enostranski odziv, ki ob utemeljeni kritiki ponuja tudi pravno osnovan protiargument.</w:t>
            </w:r>
          </w:p>
        </w:tc>
        <w:tc>
          <w:tcPr>
            <w:tcW w:w="152" w:type="dxa"/>
            <w:gridSpan w:val="2"/>
            <w:tcBorders>
              <w:top w:val="nil"/>
              <w:left w:val="single" w:sz="4" w:space="0" w:color="auto"/>
              <w:bottom w:val="nil"/>
              <w:right w:val="single" w:sz="4" w:space="0" w:color="auto"/>
            </w:tcBorders>
          </w:tcPr>
          <w:p w14:paraId="7E3FDA47" w14:textId="77777777" w:rsidR="001508BD" w:rsidRPr="00F340F3" w:rsidRDefault="001508BD" w:rsidP="001508BD">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4C7D3B50" w14:textId="77777777" w:rsidR="001508BD" w:rsidRDefault="001508BD" w:rsidP="001508BD">
            <w:pPr>
              <w:rPr>
                <w:rFonts w:cs="Calibri"/>
                <w:szCs w:val="22"/>
              </w:rPr>
            </w:pPr>
          </w:p>
          <w:p w14:paraId="279A77C3" w14:textId="01C9D5CB" w:rsidR="001508BD" w:rsidRPr="00F340F3" w:rsidRDefault="001508BD" w:rsidP="001508BD">
            <w:pPr>
              <w:rPr>
                <w:rFonts w:ascii="Arial" w:hAnsi="Arial" w:cs="Arial"/>
                <w:sz w:val="22"/>
                <w:szCs w:val="22"/>
                <w:lang w:val="en-GB"/>
              </w:rPr>
            </w:pPr>
            <w:r>
              <w:rPr>
                <w:noProof/>
              </w:rPr>
              <w:t xml:space="preserve">The course introduces the student to the analysis and formulation of legal  arguments for the purposes of judicial decision-making, public debate or expert opinion on a chosen issue. Apart from providing the student with conceptual tools </w:t>
            </w:r>
            <w:r w:rsidR="00075AEE">
              <w:rPr>
                <w:noProof/>
              </w:rPr>
              <w:t xml:space="preserve">and platforms of artificial intelligence </w:t>
            </w:r>
            <w:r>
              <w:rPr>
                <w:noProof/>
              </w:rPr>
              <w:t xml:space="preserve">intended to facilitate critical analysis and efficient formulation of legal </w:t>
            </w:r>
            <w:r>
              <w:rPr>
                <w:noProof/>
              </w:rPr>
              <w:lastRenderedPageBreak/>
              <w:t>arguments, this course also offers practical suggestions on how to communicate legal arguments in writing</w:t>
            </w:r>
            <w:r w:rsidRPr="00725D90">
              <w:rPr>
                <w:noProof/>
              </w:rPr>
              <w:t xml:space="preserve">. </w:t>
            </w:r>
            <w:r>
              <w:rPr>
                <w:noProof/>
              </w:rPr>
              <w:t>In the aim of transfering practical skills</w:t>
            </w:r>
            <w:r w:rsidRPr="00725D90">
              <w:rPr>
                <w:noProof/>
              </w:rPr>
              <w:t xml:space="preserve">, </w:t>
            </w:r>
            <w:r>
              <w:rPr>
                <w:noProof/>
              </w:rPr>
              <w:t>the course consists in repeating the following assignments on different topics:</w:t>
            </w:r>
            <w:r w:rsidRPr="00725D90">
              <w:rPr>
                <w:noProof/>
              </w:rPr>
              <w:t xml:space="preserve"> </w:t>
            </w:r>
            <w:r>
              <w:rPr>
                <w:noProof/>
              </w:rPr>
              <w:t>First, the student is asked to examine and summarize a short text containing a legal argument. Both, formal and substantive aspects of the argument are then discussed in class before the student is invited to rephrase the argument in question in order to avoid as many weaknesses and shortcomings of its original version as possible. Finally, the student is asked to draft a 1-page reaction paper, composed of a critical analysis of the initial argument and a legally justified counterargument.</w:t>
            </w:r>
          </w:p>
        </w:tc>
      </w:tr>
    </w:tbl>
    <w:p w14:paraId="22DF0227" w14:textId="77777777" w:rsidR="00857E48" w:rsidRPr="00F340F3" w:rsidRDefault="00857E48" w:rsidP="00857E48">
      <w:pPr>
        <w:rPr>
          <w:rFonts w:ascii="Arial" w:hAnsi="Arial" w:cs="Arial"/>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57E48" w:rsidRPr="00F340F3" w14:paraId="382A392E" w14:textId="77777777" w:rsidTr="00921242">
        <w:tc>
          <w:tcPr>
            <w:tcW w:w="9690" w:type="dxa"/>
            <w:gridSpan w:val="6"/>
          </w:tcPr>
          <w:p w14:paraId="60625A2C" w14:textId="77777777" w:rsidR="00857E48" w:rsidRPr="00F340F3" w:rsidRDefault="00857E48" w:rsidP="00A66FBE">
            <w:pPr>
              <w:jc w:val="both"/>
              <w:rPr>
                <w:rFonts w:ascii="Arial" w:hAnsi="Arial" w:cs="Arial"/>
                <w:b/>
                <w:sz w:val="22"/>
                <w:szCs w:val="22"/>
              </w:rPr>
            </w:pPr>
            <w:r w:rsidRPr="00F340F3">
              <w:rPr>
                <w:rFonts w:ascii="Arial" w:hAnsi="Arial" w:cs="Arial"/>
                <w:sz w:val="22"/>
                <w:szCs w:val="22"/>
              </w:rPr>
              <w:br w:type="page"/>
            </w:r>
            <w:r w:rsidRPr="00F340F3">
              <w:rPr>
                <w:rFonts w:ascii="Arial" w:hAnsi="Arial" w:cs="Arial"/>
                <w:b/>
                <w:sz w:val="22"/>
                <w:szCs w:val="22"/>
              </w:rPr>
              <w:t>Temeljni literatura in viri / Readings:</w:t>
            </w:r>
          </w:p>
        </w:tc>
      </w:tr>
      <w:tr w:rsidR="00857E48" w:rsidRPr="00F340F3" w14:paraId="429BDE78" w14:textId="77777777" w:rsidTr="00921242">
        <w:trPr>
          <w:trHeight w:val="340"/>
        </w:trPr>
        <w:tc>
          <w:tcPr>
            <w:tcW w:w="9690" w:type="dxa"/>
            <w:gridSpan w:val="6"/>
            <w:tcBorders>
              <w:top w:val="single" w:sz="4" w:space="0" w:color="auto"/>
              <w:left w:val="single" w:sz="4" w:space="0" w:color="auto"/>
              <w:bottom w:val="single" w:sz="4" w:space="0" w:color="auto"/>
              <w:right w:val="single" w:sz="4" w:space="0" w:color="auto"/>
            </w:tcBorders>
          </w:tcPr>
          <w:p w14:paraId="46E06277" w14:textId="77777777" w:rsidR="0035088B" w:rsidRPr="00F340F3" w:rsidRDefault="0035088B" w:rsidP="00DC31FD">
            <w:pPr>
              <w:ind w:left="567" w:hanging="567"/>
              <w:rPr>
                <w:rFonts w:ascii="Arial" w:hAnsi="Arial" w:cs="Arial"/>
                <w:bCs/>
                <w:sz w:val="22"/>
                <w:szCs w:val="22"/>
              </w:rPr>
            </w:pPr>
            <w:bookmarkStart w:id="5" w:name="Ucbeniki"/>
            <w:bookmarkEnd w:id="5"/>
          </w:p>
          <w:p w14:paraId="2CBBF97A" w14:textId="77777777" w:rsidR="001508BD" w:rsidRPr="00804C7E" w:rsidRDefault="001508BD" w:rsidP="001508BD">
            <w:pPr>
              <w:pStyle w:val="Odstavekseznama"/>
              <w:numPr>
                <w:ilvl w:val="0"/>
                <w:numId w:val="7"/>
              </w:numPr>
              <w:rPr>
                <w:rFonts w:eastAsia="Times New Roman" w:cs="Calibri"/>
                <w:lang w:eastAsia="en-GB"/>
              </w:rPr>
            </w:pPr>
            <w:r w:rsidRPr="00804C7E">
              <w:rPr>
                <w:rFonts w:cs="Calibri"/>
                <w:bCs/>
              </w:rPr>
              <w:t xml:space="preserve">Miro Cerar </w:t>
            </w:r>
            <w:r w:rsidRPr="00804C7E">
              <w:rPr>
                <w:rFonts w:cs="Calibri"/>
                <w:bCs/>
                <w:i/>
                <w:iCs/>
              </w:rPr>
              <w:t>et al.</w:t>
            </w:r>
            <w:r w:rsidRPr="00804C7E">
              <w:rPr>
                <w:rFonts w:cs="Calibri"/>
                <w:bCs/>
              </w:rPr>
              <w:t xml:space="preserve">, </w:t>
            </w:r>
            <w:r w:rsidRPr="00804C7E">
              <w:rPr>
                <w:rFonts w:cs="Calibri"/>
                <w:i/>
                <w:iCs/>
                <w:color w:val="000000"/>
              </w:rPr>
              <w:t>Smernice in pravila za izdelavo seminarskih in magistrskih diplomskih nalog ter objavljanje pravnih besedil</w:t>
            </w:r>
            <w:r w:rsidRPr="00804C7E">
              <w:rPr>
                <w:rFonts w:cs="Calibri"/>
                <w:color w:val="000000"/>
              </w:rPr>
              <w:t>, 3., spremenjena in dopolnjena izd., Ljubljana, Pravna fakulteta, 2020.</w:t>
            </w:r>
          </w:p>
          <w:p w14:paraId="425E839A" w14:textId="77777777" w:rsidR="001508BD" w:rsidRPr="00B92709" w:rsidRDefault="001508BD" w:rsidP="001508BD">
            <w:pPr>
              <w:pStyle w:val="Odstavekseznama"/>
              <w:numPr>
                <w:ilvl w:val="0"/>
                <w:numId w:val="7"/>
              </w:numPr>
              <w:rPr>
                <w:rFonts w:eastAsia="Times New Roman" w:cs="Calibri"/>
                <w:lang w:eastAsia="en-GB"/>
              </w:rPr>
            </w:pPr>
            <w:r w:rsidRPr="00804C7E">
              <w:rPr>
                <w:rFonts w:cs="Calibri"/>
                <w:bCs/>
                <w:szCs w:val="22"/>
              </w:rPr>
              <w:t xml:space="preserve">Miran Hladnik, </w:t>
            </w:r>
            <w:r w:rsidRPr="00804C7E">
              <w:rPr>
                <w:rFonts w:cs="Calibri"/>
                <w:bCs/>
                <w:i/>
                <w:iCs/>
                <w:szCs w:val="22"/>
              </w:rPr>
              <w:t>Praktični spisovnik ali Šola strokovnega ubesedovanja</w:t>
            </w:r>
            <w:r w:rsidRPr="00804C7E">
              <w:rPr>
                <w:rFonts w:cs="Calibri"/>
                <w:bCs/>
                <w:szCs w:val="22"/>
              </w:rPr>
              <w:t xml:space="preserve">, </w:t>
            </w:r>
            <w:r w:rsidRPr="00B92709">
              <w:rPr>
                <w:rFonts w:cs="Calibri"/>
                <w:bCs/>
                <w:szCs w:val="22"/>
              </w:rPr>
              <w:t>elektronski vir, Ljubljana, samozal. M. Hladnik, 2003. URL: http://www.ijs.si/lit/spisovn.html-l2</w:t>
            </w:r>
          </w:p>
          <w:p w14:paraId="25D29667" w14:textId="77777777" w:rsidR="00F86AED" w:rsidRDefault="001508BD" w:rsidP="00F86AED">
            <w:pPr>
              <w:spacing w:before="120" w:after="120"/>
              <w:jc w:val="center"/>
              <w:rPr>
                <w:rFonts w:cs="Calibri"/>
                <w:bCs/>
                <w:szCs w:val="22"/>
              </w:rPr>
            </w:pPr>
            <w:r>
              <w:rPr>
                <w:rFonts w:cs="Calibri"/>
                <w:bCs/>
                <w:szCs w:val="22"/>
              </w:rPr>
              <w:t>Dodatno š</w:t>
            </w:r>
            <w:r w:rsidRPr="00725D90">
              <w:rPr>
                <w:rFonts w:cs="Calibri"/>
                <w:bCs/>
                <w:szCs w:val="22"/>
              </w:rPr>
              <w:t>tudijsko gradivo je študentkam in študentom izročeno sproti na predavanjih.</w:t>
            </w:r>
          </w:p>
          <w:p w14:paraId="7F96A249" w14:textId="209240F4" w:rsidR="00E87C58" w:rsidRPr="00F86AED" w:rsidRDefault="001508BD" w:rsidP="00F86AED">
            <w:pPr>
              <w:spacing w:before="120" w:after="120"/>
              <w:jc w:val="center"/>
              <w:rPr>
                <w:rFonts w:cs="Calibri"/>
                <w:bCs/>
                <w:szCs w:val="22"/>
              </w:rPr>
            </w:pPr>
            <w:r w:rsidRPr="00F86AED">
              <w:rPr>
                <w:rFonts w:cs="Calibri"/>
                <w:bCs/>
                <w:szCs w:val="22"/>
              </w:rPr>
              <w:t>Students receive additional study materials in class.</w:t>
            </w:r>
          </w:p>
          <w:p w14:paraId="50DCD31D" w14:textId="77777777" w:rsidR="00921242" w:rsidRPr="00F340F3" w:rsidRDefault="00921242" w:rsidP="00B555FA">
            <w:pPr>
              <w:rPr>
                <w:rFonts w:ascii="Arial" w:hAnsi="Arial" w:cs="Arial"/>
                <w:bCs/>
                <w:sz w:val="22"/>
                <w:szCs w:val="22"/>
              </w:rPr>
            </w:pPr>
          </w:p>
        </w:tc>
      </w:tr>
      <w:tr w:rsidR="00857E48" w:rsidRPr="00F340F3" w14:paraId="71589D53" w14:textId="77777777" w:rsidTr="00921242">
        <w:trPr>
          <w:trHeight w:val="73"/>
        </w:trPr>
        <w:tc>
          <w:tcPr>
            <w:tcW w:w="4717" w:type="dxa"/>
            <w:gridSpan w:val="2"/>
            <w:tcBorders>
              <w:top w:val="nil"/>
              <w:left w:val="nil"/>
              <w:bottom w:val="single" w:sz="4" w:space="0" w:color="auto"/>
              <w:right w:val="nil"/>
            </w:tcBorders>
          </w:tcPr>
          <w:p w14:paraId="70B280C0" w14:textId="77777777" w:rsidR="00857E48" w:rsidRPr="00F340F3" w:rsidRDefault="00857E48" w:rsidP="00A66FBE">
            <w:pPr>
              <w:rPr>
                <w:rFonts w:ascii="Arial" w:hAnsi="Arial" w:cs="Arial"/>
                <w:b/>
                <w:bCs/>
                <w:sz w:val="22"/>
                <w:szCs w:val="22"/>
              </w:rPr>
            </w:pPr>
          </w:p>
          <w:p w14:paraId="0B0239D1" w14:textId="77777777" w:rsidR="00857E48" w:rsidRPr="00F340F3" w:rsidRDefault="00857E48" w:rsidP="00A66FBE">
            <w:pPr>
              <w:rPr>
                <w:rFonts w:ascii="Arial" w:hAnsi="Arial" w:cs="Arial"/>
                <w:b/>
                <w:sz w:val="22"/>
                <w:szCs w:val="22"/>
              </w:rPr>
            </w:pPr>
            <w:r w:rsidRPr="00F340F3">
              <w:rPr>
                <w:rFonts w:ascii="Arial" w:hAnsi="Arial" w:cs="Arial"/>
                <w:b/>
                <w:sz w:val="22"/>
                <w:szCs w:val="22"/>
              </w:rPr>
              <w:t>Cilji in kompetence:</w:t>
            </w:r>
          </w:p>
        </w:tc>
        <w:tc>
          <w:tcPr>
            <w:tcW w:w="152" w:type="dxa"/>
            <w:gridSpan w:val="2"/>
          </w:tcPr>
          <w:p w14:paraId="6F70C856" w14:textId="77777777" w:rsidR="00857E48" w:rsidRPr="00F340F3" w:rsidRDefault="00857E48" w:rsidP="00A66FBE">
            <w:pPr>
              <w:rPr>
                <w:rFonts w:ascii="Arial" w:hAnsi="Arial" w:cs="Arial"/>
                <w:b/>
                <w:sz w:val="22"/>
                <w:szCs w:val="22"/>
              </w:rPr>
            </w:pPr>
          </w:p>
        </w:tc>
        <w:tc>
          <w:tcPr>
            <w:tcW w:w="4821" w:type="dxa"/>
            <w:gridSpan w:val="2"/>
            <w:tcBorders>
              <w:top w:val="nil"/>
              <w:left w:val="nil"/>
              <w:bottom w:val="single" w:sz="4" w:space="0" w:color="auto"/>
              <w:right w:val="nil"/>
            </w:tcBorders>
          </w:tcPr>
          <w:p w14:paraId="54C27B09" w14:textId="77777777" w:rsidR="00857E48" w:rsidRPr="00F340F3" w:rsidRDefault="00857E48" w:rsidP="00A66FBE">
            <w:pPr>
              <w:rPr>
                <w:rFonts w:ascii="Arial" w:hAnsi="Arial" w:cs="Arial"/>
                <w:b/>
                <w:sz w:val="22"/>
                <w:szCs w:val="22"/>
              </w:rPr>
            </w:pPr>
          </w:p>
          <w:p w14:paraId="43F6E269" w14:textId="77777777" w:rsidR="00857E48" w:rsidRPr="00F340F3" w:rsidRDefault="00857E48" w:rsidP="00A66FBE">
            <w:pPr>
              <w:rPr>
                <w:rFonts w:ascii="Arial" w:hAnsi="Arial" w:cs="Arial"/>
                <w:b/>
                <w:sz w:val="22"/>
                <w:szCs w:val="22"/>
              </w:rPr>
            </w:pPr>
            <w:r w:rsidRPr="00F340F3">
              <w:rPr>
                <w:rFonts w:ascii="Arial" w:hAnsi="Arial" w:cs="Arial"/>
                <w:b/>
                <w:sz w:val="22"/>
                <w:szCs w:val="22"/>
                <w:lang w:val="en-GB"/>
              </w:rPr>
              <w:t>Objectives and competences</w:t>
            </w:r>
            <w:r w:rsidRPr="00F340F3">
              <w:rPr>
                <w:rFonts w:ascii="Arial" w:hAnsi="Arial" w:cs="Arial"/>
                <w:b/>
                <w:sz w:val="22"/>
                <w:szCs w:val="22"/>
              </w:rPr>
              <w:t>:</w:t>
            </w:r>
          </w:p>
        </w:tc>
      </w:tr>
      <w:tr w:rsidR="001508BD" w:rsidRPr="00F340F3" w14:paraId="1789D86D" w14:textId="77777777" w:rsidTr="00921242">
        <w:trPr>
          <w:trHeight w:val="1838"/>
        </w:trPr>
        <w:tc>
          <w:tcPr>
            <w:tcW w:w="4717" w:type="dxa"/>
            <w:gridSpan w:val="2"/>
            <w:tcBorders>
              <w:top w:val="single" w:sz="4" w:space="0" w:color="auto"/>
              <w:left w:val="single" w:sz="4" w:space="0" w:color="auto"/>
              <w:bottom w:val="single" w:sz="4" w:space="0" w:color="auto"/>
              <w:right w:val="single" w:sz="4" w:space="0" w:color="auto"/>
            </w:tcBorders>
          </w:tcPr>
          <w:p w14:paraId="29AC92AA" w14:textId="77777777" w:rsidR="001508BD" w:rsidRDefault="001508BD" w:rsidP="001508BD">
            <w:pPr>
              <w:rPr>
                <w:rFonts w:cs="Calibri"/>
                <w:szCs w:val="22"/>
              </w:rPr>
            </w:pPr>
          </w:p>
          <w:p w14:paraId="2B50295F" w14:textId="3E24992F" w:rsidR="001508BD" w:rsidRPr="00F340F3" w:rsidRDefault="001508BD" w:rsidP="001508BD">
            <w:pPr>
              <w:rPr>
                <w:rFonts w:ascii="Arial" w:hAnsi="Arial" w:cs="Arial"/>
                <w:sz w:val="22"/>
                <w:szCs w:val="22"/>
              </w:rPr>
            </w:pPr>
            <w:r w:rsidRPr="00725D90">
              <w:rPr>
                <w:rFonts w:cs="Calibri"/>
              </w:rPr>
              <w:t>Predmet cilja na usvojitev pojmovnega orodja</w:t>
            </w:r>
            <w:r w:rsidR="00461F3F">
              <w:rPr>
                <w:rFonts w:cs="Calibri"/>
              </w:rPr>
              <w:t xml:space="preserve"> in umetnointeligenčnih primopočkov</w:t>
            </w:r>
            <w:r w:rsidRPr="00725D90">
              <w:rPr>
                <w:rFonts w:cs="Calibri"/>
              </w:rPr>
              <w:t>, ki omogoča</w:t>
            </w:r>
            <w:r w:rsidR="00461F3F">
              <w:rPr>
                <w:rFonts w:cs="Calibri"/>
              </w:rPr>
              <w:t>jo</w:t>
            </w:r>
            <w:r w:rsidRPr="00725D90">
              <w:rPr>
                <w:rFonts w:cs="Calibri"/>
              </w:rPr>
              <w:t xml:space="preserve"> </w:t>
            </w:r>
            <w:r w:rsidRPr="00725D90">
              <w:rPr>
                <w:rFonts w:cs="Calibri"/>
                <w:i/>
              </w:rPr>
              <w:t>a</w:t>
            </w:r>
            <w:r w:rsidRPr="00725D90">
              <w:rPr>
                <w:rFonts w:cs="Calibri"/>
              </w:rPr>
              <w:t xml:space="preserve">) kritično razčlenitev in </w:t>
            </w:r>
            <w:r w:rsidRPr="00725D90">
              <w:rPr>
                <w:rFonts w:cs="Calibri"/>
                <w:i/>
              </w:rPr>
              <w:t>b</w:t>
            </w:r>
            <w:r w:rsidRPr="00725D90">
              <w:rPr>
                <w:rFonts w:cs="Calibri"/>
              </w:rPr>
              <w:t xml:space="preserve">) </w:t>
            </w:r>
            <w:r>
              <w:rPr>
                <w:rFonts w:cs="Calibri"/>
              </w:rPr>
              <w:t>učinkovito oblikovanje pravnih</w:t>
            </w:r>
            <w:r w:rsidRPr="00725D90">
              <w:rPr>
                <w:rFonts w:cs="Calibri"/>
              </w:rPr>
              <w:t xml:space="preserve"> argumentov </w:t>
            </w:r>
            <w:r w:rsidRPr="00725D90">
              <w:rPr>
                <w:rFonts w:cs="Calibri"/>
                <w:szCs w:val="22"/>
              </w:rPr>
              <w:t>za namene sodnega odločanja, javnega razpravljanja ali učene obravnave izbranega vprašanja</w:t>
            </w:r>
            <w:r w:rsidRPr="00725D90">
              <w:rPr>
                <w:rFonts w:cs="Calibri"/>
              </w:rPr>
              <w:t>.</w:t>
            </w:r>
          </w:p>
        </w:tc>
        <w:tc>
          <w:tcPr>
            <w:tcW w:w="152" w:type="dxa"/>
            <w:gridSpan w:val="2"/>
            <w:tcBorders>
              <w:top w:val="nil"/>
              <w:left w:val="single" w:sz="4" w:space="0" w:color="auto"/>
              <w:bottom w:val="nil"/>
              <w:right w:val="single" w:sz="4" w:space="0" w:color="auto"/>
            </w:tcBorders>
          </w:tcPr>
          <w:p w14:paraId="3D4FFB34" w14:textId="77777777" w:rsidR="001508BD" w:rsidRPr="00F340F3" w:rsidRDefault="001508BD" w:rsidP="001508BD">
            <w:pPr>
              <w:rPr>
                <w:rFonts w:ascii="Arial" w:hAnsi="Arial" w:cs="Arial"/>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14:paraId="36AC85C3" w14:textId="77777777" w:rsidR="001508BD" w:rsidRPr="00DD3109" w:rsidRDefault="001508BD" w:rsidP="001508BD">
            <w:pPr>
              <w:rPr>
                <w:rFonts w:cs="Calibri"/>
                <w:szCs w:val="22"/>
              </w:rPr>
            </w:pPr>
          </w:p>
          <w:p w14:paraId="4064BDA0" w14:textId="1C87E674" w:rsidR="001508BD" w:rsidRPr="00F340F3" w:rsidRDefault="001508BD" w:rsidP="001508BD">
            <w:pPr>
              <w:rPr>
                <w:rFonts w:ascii="Arial" w:hAnsi="Arial" w:cs="Arial"/>
                <w:sz w:val="22"/>
                <w:szCs w:val="22"/>
              </w:rPr>
            </w:pPr>
            <w:r w:rsidRPr="00A129CF">
              <w:rPr>
                <w:rFonts w:cs="Calibri"/>
              </w:rPr>
              <w:t xml:space="preserve">The objective of this course is to teach the </w:t>
            </w:r>
            <w:r w:rsidRPr="00525D51">
              <w:rPr>
                <w:rFonts w:cs="Calibri"/>
              </w:rPr>
              <w:t xml:space="preserve">students to employ </w:t>
            </w:r>
            <w:r w:rsidRPr="0008645B">
              <w:rPr>
                <w:rFonts w:cs="Calibri"/>
              </w:rPr>
              <w:t xml:space="preserve">conceptual tools </w:t>
            </w:r>
            <w:r w:rsidR="00461F3F">
              <w:rPr>
                <w:rFonts w:cs="Calibri"/>
              </w:rPr>
              <w:t xml:space="preserve">and artificial intelligence </w:t>
            </w:r>
            <w:r w:rsidRPr="0008645B">
              <w:rPr>
                <w:rFonts w:cs="Calibri"/>
              </w:rPr>
              <w:t xml:space="preserve">intended to facilitate </w:t>
            </w:r>
            <w:r w:rsidRPr="00A37D6D">
              <w:rPr>
                <w:rFonts w:cs="Calibri"/>
                <w:i/>
              </w:rPr>
              <w:t>a</w:t>
            </w:r>
            <w:r w:rsidRPr="00A37D6D">
              <w:rPr>
                <w:rFonts w:cs="Calibri"/>
              </w:rPr>
              <w:t xml:space="preserve">) critical analysis and </w:t>
            </w:r>
            <w:r w:rsidRPr="00E732C0">
              <w:rPr>
                <w:rFonts w:cs="Calibri"/>
                <w:i/>
              </w:rPr>
              <w:t>b</w:t>
            </w:r>
            <w:r w:rsidRPr="00E732C0">
              <w:rPr>
                <w:rFonts w:cs="Calibri"/>
              </w:rPr>
              <w:t>) efficient formulation of legal arguments for the purposes of judicial decision-making, public debate or expert opinion on a chosen issue.</w:t>
            </w:r>
          </w:p>
          <w:p w14:paraId="59010781" w14:textId="3F028A15" w:rsidR="001508BD" w:rsidRPr="00F86AED" w:rsidRDefault="001508BD" w:rsidP="00F86AED">
            <w:pPr>
              <w:ind w:left="360"/>
              <w:rPr>
                <w:rFonts w:ascii="Arial" w:hAnsi="Arial" w:cs="Arial"/>
                <w:sz w:val="22"/>
                <w:szCs w:val="22"/>
                <w:lang w:val="en-GB"/>
              </w:rPr>
            </w:pPr>
          </w:p>
        </w:tc>
      </w:tr>
      <w:tr w:rsidR="001508BD" w:rsidRPr="00F340F3" w14:paraId="2DA5E7A5" w14:textId="77777777" w:rsidTr="00921242">
        <w:trPr>
          <w:trHeight w:val="117"/>
        </w:trPr>
        <w:tc>
          <w:tcPr>
            <w:tcW w:w="4727" w:type="dxa"/>
            <w:gridSpan w:val="3"/>
            <w:tcBorders>
              <w:top w:val="nil"/>
              <w:left w:val="nil"/>
              <w:bottom w:val="single" w:sz="4" w:space="0" w:color="auto"/>
              <w:right w:val="nil"/>
            </w:tcBorders>
          </w:tcPr>
          <w:p w14:paraId="1E408B0B" w14:textId="77777777" w:rsidR="001508BD" w:rsidRPr="00F340F3" w:rsidRDefault="001508BD" w:rsidP="001508BD">
            <w:pPr>
              <w:rPr>
                <w:rFonts w:ascii="Arial" w:hAnsi="Arial" w:cs="Arial"/>
                <w:b/>
                <w:sz w:val="22"/>
                <w:szCs w:val="22"/>
              </w:rPr>
            </w:pPr>
          </w:p>
          <w:p w14:paraId="2D22D660" w14:textId="77777777" w:rsidR="001508BD" w:rsidRPr="00F340F3" w:rsidRDefault="001508BD" w:rsidP="001508BD">
            <w:pPr>
              <w:rPr>
                <w:rFonts w:ascii="Arial" w:hAnsi="Arial" w:cs="Arial"/>
                <w:b/>
                <w:sz w:val="22"/>
                <w:szCs w:val="22"/>
              </w:rPr>
            </w:pPr>
            <w:r w:rsidRPr="00F340F3">
              <w:rPr>
                <w:rFonts w:ascii="Arial" w:hAnsi="Arial" w:cs="Arial"/>
                <w:b/>
                <w:sz w:val="22"/>
                <w:szCs w:val="22"/>
              </w:rPr>
              <w:t>Predvideni študijski rezultati:</w:t>
            </w:r>
          </w:p>
        </w:tc>
        <w:tc>
          <w:tcPr>
            <w:tcW w:w="142" w:type="dxa"/>
          </w:tcPr>
          <w:p w14:paraId="2C86EF40" w14:textId="77777777" w:rsidR="001508BD" w:rsidRPr="00F340F3" w:rsidRDefault="001508BD" w:rsidP="001508BD">
            <w:pPr>
              <w:rPr>
                <w:rFonts w:ascii="Arial" w:hAnsi="Arial" w:cs="Arial"/>
                <w:b/>
                <w:sz w:val="22"/>
                <w:szCs w:val="22"/>
              </w:rPr>
            </w:pPr>
          </w:p>
          <w:p w14:paraId="4F9543F0" w14:textId="77777777" w:rsidR="001508BD" w:rsidRPr="00F340F3" w:rsidRDefault="001508BD" w:rsidP="001508BD">
            <w:pPr>
              <w:rPr>
                <w:rFonts w:ascii="Arial" w:hAnsi="Arial" w:cs="Arial"/>
                <w:b/>
                <w:sz w:val="22"/>
                <w:szCs w:val="22"/>
              </w:rPr>
            </w:pPr>
          </w:p>
        </w:tc>
        <w:tc>
          <w:tcPr>
            <w:tcW w:w="4821" w:type="dxa"/>
            <w:gridSpan w:val="2"/>
            <w:tcBorders>
              <w:top w:val="nil"/>
              <w:left w:val="nil"/>
              <w:bottom w:val="single" w:sz="4" w:space="0" w:color="auto"/>
              <w:right w:val="nil"/>
            </w:tcBorders>
          </w:tcPr>
          <w:p w14:paraId="2C5C384A" w14:textId="77777777" w:rsidR="001508BD" w:rsidRPr="00F340F3" w:rsidRDefault="001508BD" w:rsidP="001508BD">
            <w:pPr>
              <w:rPr>
                <w:rFonts w:ascii="Arial" w:hAnsi="Arial" w:cs="Arial"/>
                <w:b/>
                <w:sz w:val="22"/>
                <w:szCs w:val="22"/>
              </w:rPr>
            </w:pPr>
          </w:p>
          <w:p w14:paraId="68E82A26" w14:textId="77777777" w:rsidR="001508BD" w:rsidRPr="00F340F3" w:rsidRDefault="001508BD" w:rsidP="001508BD">
            <w:pPr>
              <w:rPr>
                <w:rFonts w:ascii="Arial" w:hAnsi="Arial" w:cs="Arial"/>
                <w:b/>
                <w:sz w:val="22"/>
                <w:szCs w:val="22"/>
              </w:rPr>
            </w:pPr>
            <w:r w:rsidRPr="00F340F3">
              <w:rPr>
                <w:rFonts w:ascii="Arial" w:hAnsi="Arial" w:cs="Arial"/>
                <w:b/>
                <w:sz w:val="22"/>
                <w:szCs w:val="22"/>
              </w:rPr>
              <w:t>Intended learning outcomes:</w:t>
            </w:r>
          </w:p>
        </w:tc>
      </w:tr>
      <w:tr w:rsidR="00684CDF" w:rsidRPr="00F340F3" w14:paraId="24DA2897" w14:textId="77777777" w:rsidTr="00921242">
        <w:trPr>
          <w:trHeight w:val="1387"/>
        </w:trPr>
        <w:tc>
          <w:tcPr>
            <w:tcW w:w="4727" w:type="dxa"/>
            <w:gridSpan w:val="3"/>
            <w:tcBorders>
              <w:top w:val="single" w:sz="4" w:space="0" w:color="auto"/>
              <w:left w:val="single" w:sz="4" w:space="0" w:color="auto"/>
              <w:bottom w:val="single" w:sz="4" w:space="0" w:color="auto"/>
              <w:right w:val="single" w:sz="4" w:space="0" w:color="auto"/>
            </w:tcBorders>
          </w:tcPr>
          <w:p w14:paraId="3FA438CD" w14:textId="77777777" w:rsidR="00684CDF" w:rsidRDefault="00684CDF" w:rsidP="00684CDF">
            <w:pPr>
              <w:rPr>
                <w:rFonts w:cs="Calibri"/>
                <w:szCs w:val="22"/>
              </w:rPr>
            </w:pPr>
          </w:p>
          <w:p w14:paraId="43A6DF41" w14:textId="343E9292" w:rsidR="00684CDF" w:rsidRPr="00F340F3" w:rsidRDefault="00684CDF" w:rsidP="00684CDF">
            <w:pPr>
              <w:rPr>
                <w:rFonts w:ascii="Arial" w:hAnsi="Arial" w:cs="Arial"/>
                <w:sz w:val="22"/>
                <w:szCs w:val="22"/>
              </w:rPr>
            </w:pPr>
            <w:r w:rsidRPr="00725D90">
              <w:rPr>
                <w:rFonts w:cs="Calibri"/>
                <w:szCs w:val="22"/>
              </w:rPr>
              <w:t xml:space="preserve">Uspešno opravljeni izpit pri tem predmetu potrjuje, da študentke in študentje znajo </w:t>
            </w:r>
            <w:r w:rsidRPr="00725D90">
              <w:rPr>
                <w:rFonts w:cs="Calibri"/>
                <w:i/>
                <w:szCs w:val="22"/>
              </w:rPr>
              <w:t>a</w:t>
            </w:r>
            <w:r w:rsidRPr="00725D90">
              <w:rPr>
                <w:rFonts w:cs="Calibri"/>
                <w:szCs w:val="22"/>
              </w:rPr>
              <w:t xml:space="preserve">) ločiti opisne trditve in normativne zahteve od več vrst razlogov zanje, </w:t>
            </w:r>
            <w:r w:rsidRPr="00725D90">
              <w:rPr>
                <w:rFonts w:cs="Calibri"/>
                <w:i/>
                <w:szCs w:val="22"/>
              </w:rPr>
              <w:t>b</w:t>
            </w:r>
            <w:r w:rsidRPr="00725D90">
              <w:rPr>
                <w:rFonts w:cs="Calibri"/>
                <w:szCs w:val="22"/>
              </w:rPr>
              <w:t xml:space="preserve">) prepoznati šibke točke v </w:t>
            </w:r>
            <w:r>
              <w:rPr>
                <w:rFonts w:cs="Calibri"/>
                <w:szCs w:val="22"/>
              </w:rPr>
              <w:t>pravni</w:t>
            </w:r>
            <w:r w:rsidRPr="00725D90">
              <w:rPr>
                <w:rFonts w:cs="Calibri"/>
                <w:szCs w:val="22"/>
              </w:rPr>
              <w:t xml:space="preserve"> argument</w:t>
            </w:r>
            <w:r>
              <w:rPr>
                <w:rFonts w:cs="Calibri"/>
                <w:szCs w:val="22"/>
              </w:rPr>
              <w:t>aciji</w:t>
            </w:r>
            <w:r w:rsidRPr="00725D90">
              <w:rPr>
                <w:rFonts w:cs="Calibri"/>
                <w:szCs w:val="22"/>
              </w:rPr>
              <w:t xml:space="preserve">, ki </w:t>
            </w:r>
            <w:r>
              <w:rPr>
                <w:rFonts w:cs="Calibri"/>
                <w:szCs w:val="22"/>
              </w:rPr>
              <w:t>jo</w:t>
            </w:r>
            <w:r w:rsidRPr="00725D90">
              <w:rPr>
                <w:rFonts w:cs="Calibri"/>
                <w:szCs w:val="22"/>
              </w:rPr>
              <w:t xml:space="preserve"> izpodbijajo ali zagovarjajo, in </w:t>
            </w:r>
            <w:r w:rsidRPr="00725D90">
              <w:rPr>
                <w:rFonts w:cs="Calibri"/>
                <w:i/>
                <w:szCs w:val="22"/>
              </w:rPr>
              <w:t>c</w:t>
            </w:r>
            <w:r w:rsidRPr="00725D90">
              <w:rPr>
                <w:rFonts w:cs="Calibri"/>
                <w:szCs w:val="22"/>
              </w:rPr>
              <w:t xml:space="preserve">) pisno zasnovati krajšo </w:t>
            </w:r>
            <w:r w:rsidRPr="00725D90">
              <w:rPr>
                <w:rFonts w:cs="Calibri"/>
                <w:szCs w:val="22"/>
              </w:rPr>
              <w:lastRenderedPageBreak/>
              <w:t>kritično razpravo o izbranem pravnem vprašanju.</w:t>
            </w:r>
          </w:p>
        </w:tc>
        <w:tc>
          <w:tcPr>
            <w:tcW w:w="142" w:type="dxa"/>
            <w:tcBorders>
              <w:top w:val="nil"/>
              <w:left w:val="single" w:sz="4" w:space="0" w:color="auto"/>
              <w:bottom w:val="nil"/>
              <w:right w:val="single" w:sz="4" w:space="0" w:color="auto"/>
            </w:tcBorders>
          </w:tcPr>
          <w:p w14:paraId="73CFA5B0" w14:textId="77777777" w:rsidR="00684CDF" w:rsidRPr="00F340F3" w:rsidRDefault="00684CDF" w:rsidP="00684CDF">
            <w:pPr>
              <w:rPr>
                <w:rFonts w:ascii="Arial" w:hAnsi="Arial" w:cs="Arial"/>
                <w:sz w:val="22"/>
                <w:szCs w:val="22"/>
              </w:rPr>
            </w:pPr>
          </w:p>
          <w:p w14:paraId="0014526B" w14:textId="77777777" w:rsidR="00684CDF" w:rsidRPr="00F340F3" w:rsidRDefault="00684CDF" w:rsidP="00684CDF">
            <w:pPr>
              <w:rPr>
                <w:rFonts w:ascii="Arial" w:hAnsi="Arial" w:cs="Arial"/>
                <w:sz w:val="22"/>
                <w:szCs w:val="22"/>
              </w:rPr>
            </w:pPr>
          </w:p>
          <w:p w14:paraId="26AA818E" w14:textId="77777777" w:rsidR="00684CDF" w:rsidRPr="00F340F3" w:rsidRDefault="00684CDF" w:rsidP="00684CDF">
            <w:pPr>
              <w:rPr>
                <w:rFonts w:ascii="Arial" w:hAnsi="Arial" w:cs="Arial"/>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14:paraId="196077A1" w14:textId="2BB9971B" w:rsidR="00684CDF" w:rsidRPr="00461F3F" w:rsidRDefault="00684CDF" w:rsidP="00F86AED">
            <w:pPr>
              <w:rPr>
                <w:rFonts w:ascii="Arial" w:hAnsi="Arial" w:cs="Arial"/>
                <w:sz w:val="22"/>
                <w:szCs w:val="22"/>
              </w:rPr>
            </w:pPr>
            <w:r w:rsidRPr="00461F3F">
              <w:rPr>
                <w:rFonts w:cs="Calibri"/>
                <w:szCs w:val="22"/>
              </w:rPr>
              <w:t xml:space="preserve">A successful completion of this course indicates that the student is able to </w:t>
            </w:r>
            <w:r w:rsidRPr="00461F3F">
              <w:rPr>
                <w:rFonts w:cs="Calibri"/>
                <w:i/>
                <w:szCs w:val="22"/>
              </w:rPr>
              <w:t>a</w:t>
            </w:r>
            <w:r w:rsidRPr="00461F3F">
              <w:rPr>
                <w:rFonts w:cs="Calibri"/>
                <w:szCs w:val="22"/>
              </w:rPr>
              <w:t xml:space="preserve">) distinguish descriptive and normative claims from various sorts of reasons that support them, </w:t>
            </w:r>
            <w:r w:rsidRPr="00461F3F">
              <w:rPr>
                <w:rFonts w:cs="Calibri"/>
                <w:i/>
                <w:szCs w:val="22"/>
              </w:rPr>
              <w:t>b</w:t>
            </w:r>
            <w:r w:rsidRPr="00461F3F">
              <w:rPr>
                <w:rFonts w:cs="Calibri"/>
                <w:szCs w:val="22"/>
              </w:rPr>
              <w:t xml:space="preserve">) identify the weaknesses and shortcomings of legal arguments in favour or against a given claim, </w:t>
            </w:r>
            <w:r w:rsidRPr="00461F3F">
              <w:rPr>
                <w:rFonts w:cs="Calibri"/>
                <w:szCs w:val="22"/>
              </w:rPr>
              <w:lastRenderedPageBreak/>
              <w:t xml:space="preserve">and </w:t>
            </w:r>
            <w:r w:rsidRPr="00461F3F">
              <w:rPr>
                <w:rFonts w:cs="Calibri"/>
                <w:i/>
                <w:szCs w:val="22"/>
              </w:rPr>
              <w:t>c</w:t>
            </w:r>
            <w:r w:rsidRPr="00461F3F">
              <w:rPr>
                <w:rFonts w:cs="Calibri"/>
                <w:szCs w:val="22"/>
              </w:rPr>
              <w:t>) draft a short critical discussion on a given legal issue.</w:t>
            </w:r>
          </w:p>
        </w:tc>
      </w:tr>
      <w:tr w:rsidR="00684CDF" w:rsidRPr="00F340F3" w14:paraId="7BE2A45E" w14:textId="77777777" w:rsidTr="00921242">
        <w:tc>
          <w:tcPr>
            <w:tcW w:w="4727" w:type="dxa"/>
            <w:gridSpan w:val="3"/>
            <w:tcBorders>
              <w:top w:val="single" w:sz="4" w:space="0" w:color="auto"/>
              <w:left w:val="nil"/>
              <w:bottom w:val="single" w:sz="4" w:space="0" w:color="auto"/>
              <w:right w:val="nil"/>
            </w:tcBorders>
          </w:tcPr>
          <w:p w14:paraId="6053FF2C" w14:textId="77777777" w:rsidR="00684CDF" w:rsidRPr="00F340F3" w:rsidRDefault="00684CDF" w:rsidP="00684CDF">
            <w:pPr>
              <w:rPr>
                <w:rFonts w:ascii="Arial" w:hAnsi="Arial" w:cs="Arial"/>
                <w:b/>
                <w:sz w:val="22"/>
                <w:szCs w:val="22"/>
              </w:rPr>
            </w:pPr>
          </w:p>
          <w:p w14:paraId="11711E6B" w14:textId="77777777" w:rsidR="00684CDF" w:rsidRPr="00F340F3" w:rsidRDefault="00684CDF" w:rsidP="00684CDF">
            <w:pPr>
              <w:rPr>
                <w:rFonts w:ascii="Arial" w:hAnsi="Arial" w:cs="Arial"/>
                <w:b/>
                <w:sz w:val="22"/>
                <w:szCs w:val="22"/>
              </w:rPr>
            </w:pPr>
            <w:r w:rsidRPr="00F340F3">
              <w:rPr>
                <w:rFonts w:ascii="Arial" w:hAnsi="Arial" w:cs="Arial"/>
                <w:b/>
                <w:sz w:val="22"/>
                <w:szCs w:val="22"/>
              </w:rPr>
              <w:t>Metode poučevanja in učenja:</w:t>
            </w:r>
          </w:p>
        </w:tc>
        <w:tc>
          <w:tcPr>
            <w:tcW w:w="142" w:type="dxa"/>
          </w:tcPr>
          <w:p w14:paraId="3BA8A3C5" w14:textId="77777777" w:rsidR="00684CDF" w:rsidRPr="00F340F3" w:rsidRDefault="00684CDF" w:rsidP="00684CDF">
            <w:pPr>
              <w:rPr>
                <w:rFonts w:ascii="Arial" w:hAnsi="Arial" w:cs="Arial"/>
                <w:b/>
                <w:sz w:val="22"/>
                <w:szCs w:val="22"/>
              </w:rPr>
            </w:pPr>
          </w:p>
          <w:p w14:paraId="4F9F9F8C" w14:textId="77777777" w:rsidR="00684CDF" w:rsidRPr="00F340F3" w:rsidRDefault="00684CDF" w:rsidP="00684CDF">
            <w:pPr>
              <w:rPr>
                <w:rFonts w:ascii="Arial" w:hAnsi="Arial" w:cs="Arial"/>
                <w:b/>
                <w:sz w:val="22"/>
                <w:szCs w:val="22"/>
              </w:rPr>
            </w:pPr>
          </w:p>
        </w:tc>
        <w:tc>
          <w:tcPr>
            <w:tcW w:w="4821" w:type="dxa"/>
            <w:gridSpan w:val="2"/>
            <w:tcBorders>
              <w:top w:val="single" w:sz="4" w:space="0" w:color="auto"/>
              <w:left w:val="nil"/>
              <w:bottom w:val="single" w:sz="4" w:space="0" w:color="auto"/>
              <w:right w:val="nil"/>
            </w:tcBorders>
          </w:tcPr>
          <w:p w14:paraId="39B895AD" w14:textId="77777777" w:rsidR="00684CDF" w:rsidRPr="00F340F3" w:rsidRDefault="00684CDF" w:rsidP="00684CDF">
            <w:pPr>
              <w:rPr>
                <w:rFonts w:ascii="Arial" w:hAnsi="Arial" w:cs="Arial"/>
                <w:b/>
                <w:sz w:val="22"/>
                <w:szCs w:val="22"/>
              </w:rPr>
            </w:pPr>
          </w:p>
          <w:p w14:paraId="7952E330" w14:textId="77777777" w:rsidR="00684CDF" w:rsidRPr="00F340F3" w:rsidRDefault="00684CDF" w:rsidP="00684CDF">
            <w:pPr>
              <w:rPr>
                <w:rFonts w:ascii="Arial" w:hAnsi="Arial" w:cs="Arial"/>
                <w:b/>
                <w:sz w:val="22"/>
                <w:szCs w:val="22"/>
              </w:rPr>
            </w:pPr>
            <w:r w:rsidRPr="00F340F3">
              <w:rPr>
                <w:rFonts w:ascii="Arial" w:hAnsi="Arial" w:cs="Arial"/>
                <w:b/>
                <w:sz w:val="22"/>
                <w:szCs w:val="22"/>
              </w:rPr>
              <w:t>Learning and teaching methods:</w:t>
            </w:r>
          </w:p>
        </w:tc>
      </w:tr>
      <w:tr w:rsidR="00684CDF" w:rsidRPr="00F340F3" w14:paraId="10BDCD85" w14:textId="77777777" w:rsidTr="00921242">
        <w:trPr>
          <w:trHeight w:val="2023"/>
        </w:trPr>
        <w:tc>
          <w:tcPr>
            <w:tcW w:w="4727" w:type="dxa"/>
            <w:gridSpan w:val="3"/>
            <w:tcBorders>
              <w:top w:val="single" w:sz="4" w:space="0" w:color="auto"/>
              <w:left w:val="single" w:sz="4" w:space="0" w:color="auto"/>
              <w:bottom w:val="single" w:sz="4" w:space="0" w:color="auto"/>
              <w:right w:val="single" w:sz="4" w:space="0" w:color="auto"/>
            </w:tcBorders>
          </w:tcPr>
          <w:p w14:paraId="584CD9D4" w14:textId="77777777" w:rsidR="00684CDF" w:rsidRDefault="00684CDF" w:rsidP="00684CDF">
            <w:pPr>
              <w:rPr>
                <w:rFonts w:cs="Calibri"/>
                <w:szCs w:val="22"/>
              </w:rPr>
            </w:pPr>
          </w:p>
          <w:p w14:paraId="7DD6BDEA" w14:textId="3342AC35" w:rsidR="00684CDF" w:rsidRPr="00F340F3" w:rsidRDefault="00684CDF" w:rsidP="00684CDF">
            <w:pPr>
              <w:rPr>
                <w:rFonts w:ascii="Arial" w:hAnsi="Arial" w:cs="Arial"/>
                <w:sz w:val="22"/>
                <w:szCs w:val="22"/>
              </w:rPr>
            </w:pPr>
            <w:r>
              <w:rPr>
                <w:rFonts w:cs="Calibri"/>
                <w:szCs w:val="22"/>
              </w:rPr>
              <w:t xml:space="preserve">Zaradi praktične usmerjenosti tega predmeta je ob skupinskih predavanjih in seminarjih še posebne pozornosti deležno študentkino oz. študentovo individualno delo po napotkih predavatelja. </w:t>
            </w:r>
          </w:p>
        </w:tc>
        <w:tc>
          <w:tcPr>
            <w:tcW w:w="142" w:type="dxa"/>
            <w:tcBorders>
              <w:top w:val="nil"/>
              <w:left w:val="single" w:sz="4" w:space="0" w:color="auto"/>
              <w:bottom w:val="nil"/>
              <w:right w:val="single" w:sz="4" w:space="0" w:color="auto"/>
            </w:tcBorders>
          </w:tcPr>
          <w:p w14:paraId="3240A349" w14:textId="77777777" w:rsidR="00684CDF" w:rsidRPr="00F340F3" w:rsidRDefault="00684CDF" w:rsidP="00684CDF">
            <w:pPr>
              <w:rPr>
                <w:rFonts w:ascii="Arial" w:hAnsi="Arial" w:cs="Arial"/>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14:paraId="18A86F2D" w14:textId="30793A8A" w:rsidR="00684CDF" w:rsidRPr="00461F3F" w:rsidRDefault="00684CDF" w:rsidP="00F86AED">
            <w:pPr>
              <w:rPr>
                <w:rFonts w:ascii="Arial" w:hAnsi="Arial" w:cs="Arial"/>
                <w:sz w:val="22"/>
                <w:szCs w:val="22"/>
              </w:rPr>
            </w:pPr>
            <w:r w:rsidRPr="00461F3F">
              <w:rPr>
                <w:rFonts w:cs="Calibri"/>
                <w:szCs w:val="22"/>
              </w:rPr>
              <w:t>Due to our focus on practical skill-building, special attention is paid to the student’s individual work in accordance with the instructions of the lecturer.</w:t>
            </w:r>
          </w:p>
        </w:tc>
      </w:tr>
      <w:tr w:rsidR="00684CDF" w:rsidRPr="00F340F3" w14:paraId="00DE8A8A" w14:textId="77777777" w:rsidTr="00921242">
        <w:tc>
          <w:tcPr>
            <w:tcW w:w="4020" w:type="dxa"/>
            <w:tcBorders>
              <w:top w:val="nil"/>
              <w:left w:val="nil"/>
              <w:bottom w:val="single" w:sz="4" w:space="0" w:color="auto"/>
              <w:right w:val="nil"/>
            </w:tcBorders>
          </w:tcPr>
          <w:p w14:paraId="5C821552" w14:textId="77777777" w:rsidR="00684CDF" w:rsidRPr="00F340F3" w:rsidRDefault="00684CDF" w:rsidP="00684CDF">
            <w:pPr>
              <w:rPr>
                <w:rFonts w:ascii="Arial" w:hAnsi="Arial" w:cs="Arial"/>
                <w:b/>
                <w:sz w:val="22"/>
                <w:szCs w:val="22"/>
              </w:rPr>
            </w:pPr>
          </w:p>
          <w:p w14:paraId="0578D8DD" w14:textId="77777777" w:rsidR="00684CDF" w:rsidRPr="00F340F3" w:rsidRDefault="00684CDF" w:rsidP="00684CDF">
            <w:pPr>
              <w:rPr>
                <w:rFonts w:ascii="Arial" w:hAnsi="Arial" w:cs="Arial"/>
                <w:b/>
                <w:sz w:val="22"/>
                <w:szCs w:val="22"/>
              </w:rPr>
            </w:pPr>
            <w:r w:rsidRPr="00F340F3">
              <w:rPr>
                <w:rFonts w:ascii="Arial" w:hAnsi="Arial" w:cs="Arial"/>
                <w:b/>
                <w:sz w:val="22"/>
                <w:szCs w:val="22"/>
              </w:rPr>
              <w:t>Načini ocenjevanja:</w:t>
            </w:r>
          </w:p>
        </w:tc>
        <w:tc>
          <w:tcPr>
            <w:tcW w:w="1560" w:type="dxa"/>
            <w:gridSpan w:val="4"/>
            <w:tcBorders>
              <w:top w:val="nil"/>
              <w:left w:val="nil"/>
              <w:bottom w:val="single" w:sz="4" w:space="0" w:color="auto"/>
              <w:right w:val="nil"/>
            </w:tcBorders>
          </w:tcPr>
          <w:p w14:paraId="0824433F" w14:textId="77777777" w:rsidR="00684CDF" w:rsidRPr="00F340F3" w:rsidRDefault="00684CDF" w:rsidP="00684CDF">
            <w:pPr>
              <w:rPr>
                <w:rFonts w:ascii="Arial" w:hAnsi="Arial" w:cs="Arial"/>
                <w:sz w:val="22"/>
                <w:szCs w:val="22"/>
              </w:rPr>
            </w:pPr>
            <w:r w:rsidRPr="00F340F3">
              <w:rPr>
                <w:rFonts w:ascii="Arial" w:hAnsi="Arial" w:cs="Arial"/>
                <w:sz w:val="22"/>
                <w:szCs w:val="22"/>
              </w:rPr>
              <w:t>Delež (v %) /</w:t>
            </w:r>
          </w:p>
          <w:p w14:paraId="72347AC3" w14:textId="77777777" w:rsidR="00684CDF" w:rsidRPr="00F340F3" w:rsidRDefault="00684CDF" w:rsidP="00684CDF">
            <w:pPr>
              <w:rPr>
                <w:rFonts w:ascii="Arial" w:hAnsi="Arial" w:cs="Arial"/>
                <w:b/>
                <w:sz w:val="22"/>
                <w:szCs w:val="22"/>
              </w:rPr>
            </w:pPr>
            <w:r w:rsidRPr="00F340F3">
              <w:rPr>
                <w:rFonts w:ascii="Arial" w:hAnsi="Arial" w:cs="Arial"/>
                <w:sz w:val="22"/>
                <w:szCs w:val="22"/>
              </w:rPr>
              <w:t>Weight (in %)</w:t>
            </w:r>
          </w:p>
        </w:tc>
        <w:tc>
          <w:tcPr>
            <w:tcW w:w="4110" w:type="dxa"/>
            <w:tcBorders>
              <w:top w:val="nil"/>
              <w:left w:val="nil"/>
              <w:bottom w:val="single" w:sz="4" w:space="0" w:color="auto"/>
              <w:right w:val="nil"/>
            </w:tcBorders>
          </w:tcPr>
          <w:p w14:paraId="6256717D" w14:textId="77777777" w:rsidR="00684CDF" w:rsidRPr="00F340F3" w:rsidRDefault="00684CDF" w:rsidP="00684CDF">
            <w:pPr>
              <w:rPr>
                <w:rFonts w:ascii="Arial" w:hAnsi="Arial" w:cs="Arial"/>
                <w:b/>
                <w:sz w:val="22"/>
                <w:szCs w:val="22"/>
              </w:rPr>
            </w:pPr>
          </w:p>
          <w:p w14:paraId="294CC2EB" w14:textId="77777777" w:rsidR="00684CDF" w:rsidRPr="00F340F3" w:rsidRDefault="00684CDF" w:rsidP="00684CDF">
            <w:pPr>
              <w:rPr>
                <w:rFonts w:ascii="Arial" w:hAnsi="Arial" w:cs="Arial"/>
                <w:b/>
                <w:sz w:val="22"/>
                <w:szCs w:val="22"/>
              </w:rPr>
            </w:pPr>
            <w:r w:rsidRPr="00F340F3">
              <w:rPr>
                <w:rFonts w:ascii="Arial" w:hAnsi="Arial" w:cs="Arial"/>
                <w:b/>
                <w:sz w:val="22"/>
                <w:szCs w:val="22"/>
              </w:rPr>
              <w:t>Assessment:</w:t>
            </w:r>
          </w:p>
        </w:tc>
      </w:tr>
      <w:tr w:rsidR="00684CDF" w:rsidRPr="00F340F3" w14:paraId="515C0BC5" w14:textId="77777777" w:rsidTr="00921242">
        <w:trPr>
          <w:trHeight w:val="1104"/>
        </w:trPr>
        <w:tc>
          <w:tcPr>
            <w:tcW w:w="4020" w:type="dxa"/>
            <w:tcBorders>
              <w:top w:val="single" w:sz="4" w:space="0" w:color="auto"/>
              <w:left w:val="single" w:sz="4" w:space="0" w:color="auto"/>
              <w:bottom w:val="single" w:sz="4" w:space="0" w:color="auto"/>
              <w:right w:val="single" w:sz="4" w:space="0" w:color="auto"/>
            </w:tcBorders>
          </w:tcPr>
          <w:p w14:paraId="74758973" w14:textId="77777777" w:rsidR="00684CDF" w:rsidRPr="00F340F3" w:rsidRDefault="00684CDF" w:rsidP="00684CDF">
            <w:pPr>
              <w:rPr>
                <w:rFonts w:ascii="Arial" w:hAnsi="Arial" w:cs="Arial"/>
                <w:sz w:val="22"/>
                <w:szCs w:val="22"/>
              </w:rPr>
            </w:pPr>
          </w:p>
          <w:p w14:paraId="76950C00" w14:textId="77777777" w:rsidR="00684CDF" w:rsidRPr="00683DF8" w:rsidRDefault="00684CDF" w:rsidP="00684CDF">
            <w:pPr>
              <w:spacing w:before="120"/>
              <w:jc w:val="both"/>
              <w:rPr>
                <w:rFonts w:eastAsia="Times New Roman"/>
              </w:rPr>
            </w:pPr>
            <w:r w:rsidRPr="00683DF8">
              <w:rPr>
                <w:rFonts w:eastAsia="Times New Roman"/>
              </w:rPr>
              <w:t xml:space="preserve">Končna ocena pri tem predmetu je sestavljena iz dveh delov: </w:t>
            </w:r>
          </w:p>
          <w:p w14:paraId="4EFA5D67" w14:textId="77777777" w:rsidR="00684CDF" w:rsidRPr="00725D90" w:rsidRDefault="00684CDF" w:rsidP="00684CDF">
            <w:pPr>
              <w:numPr>
                <w:ilvl w:val="0"/>
                <w:numId w:val="8"/>
              </w:numPr>
              <w:spacing w:before="120"/>
              <w:ind w:left="714" w:hanging="357"/>
              <w:rPr>
                <w:rFonts w:eastAsia="Times New Roman"/>
              </w:rPr>
            </w:pPr>
            <w:r w:rsidRPr="00725D90">
              <w:rPr>
                <w:rFonts w:eastAsia="Times New Roman"/>
              </w:rPr>
              <w:t>sodelovanje in sprotno opravljanje krajših pisnih nalog;</w:t>
            </w:r>
          </w:p>
          <w:p w14:paraId="75DE0691" w14:textId="77777777" w:rsidR="00684CDF" w:rsidRPr="00725D90" w:rsidRDefault="00684CDF" w:rsidP="00684CDF">
            <w:pPr>
              <w:numPr>
                <w:ilvl w:val="0"/>
                <w:numId w:val="8"/>
              </w:numPr>
              <w:spacing w:before="120"/>
              <w:ind w:left="714" w:hanging="357"/>
              <w:rPr>
                <w:rFonts w:eastAsia="Times New Roman"/>
              </w:rPr>
            </w:pPr>
            <w:r w:rsidRPr="00725D90">
              <w:rPr>
                <w:rFonts w:eastAsia="Times New Roman"/>
              </w:rPr>
              <w:t xml:space="preserve">končni esejski pisni izpit. </w:t>
            </w:r>
          </w:p>
          <w:p w14:paraId="7EBE8B16" w14:textId="06163762" w:rsidR="00684CDF" w:rsidRPr="00F340F3" w:rsidRDefault="00684CDF" w:rsidP="00684CDF">
            <w:pPr>
              <w:rPr>
                <w:rFonts w:ascii="Arial" w:hAnsi="Arial" w:cs="Arial"/>
                <w:sz w:val="22"/>
                <w:szCs w:val="22"/>
              </w:rPr>
            </w:pPr>
            <w:r w:rsidRPr="00725D90">
              <w:rPr>
                <w:rFonts w:eastAsia="Times New Roman"/>
              </w:rPr>
              <w:t>Končna ocena se določi po ocenjevalni lestvici od 1 do 10: od 6 do 10 za pozitivno oceno ali od 1 do 5 za negativno oceno, ob upoštevanju Statuta UL in Pravil Pravne fakultete.</w:t>
            </w:r>
          </w:p>
          <w:p w14:paraId="6EEAB550" w14:textId="77777777" w:rsidR="00684CDF" w:rsidRPr="00F340F3" w:rsidRDefault="00684CDF" w:rsidP="00684CDF">
            <w:pPr>
              <w:rPr>
                <w:rFonts w:ascii="Arial" w:hAnsi="Arial" w:cs="Arial"/>
                <w:sz w:val="22"/>
                <w:szCs w:val="22"/>
              </w:rPr>
            </w:pPr>
          </w:p>
        </w:tc>
        <w:tc>
          <w:tcPr>
            <w:tcW w:w="1560" w:type="dxa"/>
            <w:gridSpan w:val="4"/>
            <w:tcBorders>
              <w:top w:val="single" w:sz="4" w:space="0" w:color="auto"/>
              <w:left w:val="single" w:sz="4" w:space="0" w:color="auto"/>
              <w:bottom w:val="single" w:sz="4" w:space="0" w:color="auto"/>
              <w:right w:val="single" w:sz="4" w:space="0" w:color="auto"/>
            </w:tcBorders>
          </w:tcPr>
          <w:p w14:paraId="3D3AB4AD" w14:textId="77777777" w:rsidR="00684CDF" w:rsidRPr="00F340F3" w:rsidRDefault="00684CDF" w:rsidP="00684CDF">
            <w:pPr>
              <w:jc w:val="center"/>
              <w:rPr>
                <w:rFonts w:ascii="Arial" w:hAnsi="Arial" w:cs="Arial"/>
                <w:b/>
                <w:sz w:val="22"/>
                <w:szCs w:val="22"/>
              </w:rPr>
            </w:pPr>
          </w:p>
          <w:p w14:paraId="7454BB9B" w14:textId="77777777" w:rsidR="00684CDF" w:rsidRDefault="00684CDF" w:rsidP="00684CDF">
            <w:pPr>
              <w:jc w:val="center"/>
              <w:rPr>
                <w:rFonts w:cs="Calibri"/>
                <w:b/>
                <w:szCs w:val="22"/>
              </w:rPr>
            </w:pPr>
          </w:p>
          <w:p w14:paraId="71AE1235" w14:textId="77777777" w:rsidR="00684CDF" w:rsidRDefault="00684CDF" w:rsidP="00684CDF">
            <w:pPr>
              <w:jc w:val="center"/>
              <w:rPr>
                <w:rFonts w:cs="Calibri"/>
                <w:b/>
                <w:szCs w:val="22"/>
              </w:rPr>
            </w:pPr>
          </w:p>
          <w:p w14:paraId="1D3862F9" w14:textId="77777777" w:rsidR="00461F3F" w:rsidRDefault="00461F3F" w:rsidP="00684CDF">
            <w:pPr>
              <w:jc w:val="center"/>
              <w:rPr>
                <w:rFonts w:cs="Calibri"/>
                <w:b/>
                <w:szCs w:val="22"/>
              </w:rPr>
            </w:pPr>
          </w:p>
          <w:p w14:paraId="3DFD607C" w14:textId="1A17C6F5" w:rsidR="00684CDF" w:rsidRDefault="00684CDF" w:rsidP="00684CDF">
            <w:pPr>
              <w:jc w:val="center"/>
              <w:rPr>
                <w:rFonts w:cs="Calibri"/>
                <w:b/>
                <w:szCs w:val="22"/>
              </w:rPr>
            </w:pPr>
            <w:r>
              <w:rPr>
                <w:rFonts w:cs="Calibri"/>
                <w:b/>
                <w:szCs w:val="22"/>
              </w:rPr>
              <w:t>40</w:t>
            </w:r>
          </w:p>
          <w:p w14:paraId="3C6B37CF" w14:textId="77777777" w:rsidR="00684CDF" w:rsidRDefault="00684CDF" w:rsidP="00684CDF">
            <w:pPr>
              <w:jc w:val="center"/>
              <w:rPr>
                <w:rFonts w:cs="Calibri"/>
                <w:b/>
                <w:szCs w:val="22"/>
              </w:rPr>
            </w:pPr>
          </w:p>
          <w:p w14:paraId="05676B5D" w14:textId="5CCF2B57" w:rsidR="00684CDF" w:rsidRPr="00F340F3" w:rsidRDefault="00684CDF" w:rsidP="00684CDF">
            <w:pPr>
              <w:jc w:val="center"/>
              <w:rPr>
                <w:rFonts w:ascii="Arial" w:hAnsi="Arial" w:cs="Arial"/>
                <w:b/>
                <w:sz w:val="22"/>
                <w:szCs w:val="22"/>
              </w:rPr>
            </w:pPr>
            <w:r>
              <w:rPr>
                <w:rFonts w:cs="Calibri"/>
                <w:b/>
                <w:szCs w:val="22"/>
              </w:rPr>
              <w:t>60</w:t>
            </w:r>
          </w:p>
        </w:tc>
        <w:tc>
          <w:tcPr>
            <w:tcW w:w="4110" w:type="dxa"/>
            <w:tcBorders>
              <w:top w:val="single" w:sz="4" w:space="0" w:color="auto"/>
              <w:left w:val="single" w:sz="4" w:space="0" w:color="auto"/>
              <w:bottom w:val="single" w:sz="4" w:space="0" w:color="auto"/>
              <w:right w:val="single" w:sz="4" w:space="0" w:color="auto"/>
            </w:tcBorders>
          </w:tcPr>
          <w:p w14:paraId="6B8E87CE" w14:textId="77777777" w:rsidR="00684CDF" w:rsidRPr="00F340F3" w:rsidRDefault="00684CDF" w:rsidP="00684CDF">
            <w:pPr>
              <w:rPr>
                <w:rFonts w:ascii="Arial" w:hAnsi="Arial" w:cs="Arial"/>
                <w:sz w:val="22"/>
                <w:szCs w:val="22"/>
              </w:rPr>
            </w:pPr>
          </w:p>
          <w:p w14:paraId="13F2C612" w14:textId="77777777" w:rsidR="00684CDF" w:rsidRPr="00725D90" w:rsidRDefault="00684CDF" w:rsidP="00684CDF">
            <w:pPr>
              <w:spacing w:before="120"/>
              <w:jc w:val="both"/>
              <w:rPr>
                <w:rFonts w:eastAsia="Times New Roman"/>
              </w:rPr>
            </w:pPr>
            <w:r w:rsidRPr="00725D90">
              <w:rPr>
                <w:rFonts w:eastAsia="Times New Roman"/>
              </w:rPr>
              <w:t xml:space="preserve">The final grade for this course is composed of two elements: </w:t>
            </w:r>
          </w:p>
          <w:p w14:paraId="63A56878" w14:textId="77777777" w:rsidR="00684CDF" w:rsidRPr="00725D90" w:rsidRDefault="00684CDF" w:rsidP="00684CDF">
            <w:pPr>
              <w:numPr>
                <w:ilvl w:val="0"/>
                <w:numId w:val="8"/>
              </w:numPr>
              <w:spacing w:before="120"/>
              <w:jc w:val="both"/>
              <w:rPr>
                <w:rFonts w:eastAsia="Times New Roman"/>
              </w:rPr>
            </w:pPr>
            <w:r w:rsidRPr="00412690">
              <w:rPr>
                <w:rFonts w:eastAsia="Times New Roman"/>
              </w:rPr>
              <w:t xml:space="preserve">participation and </w:t>
            </w:r>
            <w:r w:rsidRPr="00725D90">
              <w:rPr>
                <w:rFonts w:eastAsia="Times New Roman"/>
              </w:rPr>
              <w:t xml:space="preserve">timely </w:t>
            </w:r>
            <w:r>
              <w:rPr>
                <w:rFonts w:eastAsia="Times New Roman"/>
              </w:rPr>
              <w:t>submission</w:t>
            </w:r>
            <w:r w:rsidRPr="00725D90">
              <w:rPr>
                <w:rFonts w:eastAsia="Times New Roman"/>
              </w:rPr>
              <w:t xml:space="preserve"> of short writing assignments;</w:t>
            </w:r>
          </w:p>
          <w:p w14:paraId="5BA5ABD1" w14:textId="77777777" w:rsidR="00684CDF" w:rsidRPr="00412690" w:rsidRDefault="00684CDF" w:rsidP="00684CDF">
            <w:pPr>
              <w:numPr>
                <w:ilvl w:val="0"/>
                <w:numId w:val="8"/>
              </w:numPr>
              <w:spacing w:before="120"/>
              <w:jc w:val="both"/>
              <w:rPr>
                <w:rFonts w:eastAsia="Times New Roman"/>
              </w:rPr>
            </w:pPr>
            <w:r w:rsidRPr="00412690">
              <w:rPr>
                <w:rFonts w:eastAsia="Times New Roman"/>
              </w:rPr>
              <w:t>final essay-type written exam</w:t>
            </w:r>
          </w:p>
          <w:p w14:paraId="63B5D292" w14:textId="0540893F" w:rsidR="00684CDF" w:rsidRPr="00F340F3" w:rsidRDefault="00684CDF" w:rsidP="00684CDF">
            <w:pPr>
              <w:rPr>
                <w:rFonts w:ascii="Arial" w:hAnsi="Arial" w:cs="Arial"/>
                <w:sz w:val="22"/>
                <w:szCs w:val="22"/>
              </w:rPr>
            </w:pPr>
            <w:r w:rsidRPr="000D4208">
              <w:rPr>
                <w:rFonts w:eastAsia="Times New Roman"/>
              </w:rPr>
              <w:t>The final grade will be awarded according to the grading range of 1 to 10: 6 to 10 for a positive grade and 1 to 5 for a negative grade, noting the relevant university and faculty rules.</w:t>
            </w:r>
          </w:p>
        </w:tc>
      </w:tr>
      <w:tr w:rsidR="00684CDF" w:rsidRPr="00F340F3" w14:paraId="11A8EEA7" w14:textId="77777777" w:rsidTr="00921242">
        <w:tc>
          <w:tcPr>
            <w:tcW w:w="9690" w:type="dxa"/>
            <w:gridSpan w:val="6"/>
            <w:tcBorders>
              <w:top w:val="single" w:sz="4" w:space="0" w:color="auto"/>
              <w:left w:val="nil"/>
              <w:bottom w:val="single" w:sz="4" w:space="0" w:color="auto"/>
              <w:right w:val="nil"/>
            </w:tcBorders>
          </w:tcPr>
          <w:p w14:paraId="533C7183" w14:textId="77777777" w:rsidR="00684CDF" w:rsidRPr="00F340F3" w:rsidRDefault="00684CDF" w:rsidP="00684CDF">
            <w:pPr>
              <w:rPr>
                <w:rFonts w:ascii="Arial" w:hAnsi="Arial" w:cs="Arial"/>
                <w:b/>
                <w:sz w:val="22"/>
                <w:szCs w:val="22"/>
              </w:rPr>
            </w:pPr>
          </w:p>
          <w:p w14:paraId="50DB8C79" w14:textId="77777777" w:rsidR="00684CDF" w:rsidRPr="00F340F3" w:rsidRDefault="00684CDF" w:rsidP="00684CDF">
            <w:pPr>
              <w:rPr>
                <w:rFonts w:ascii="Arial" w:hAnsi="Arial" w:cs="Arial"/>
                <w:b/>
                <w:sz w:val="22"/>
                <w:szCs w:val="22"/>
              </w:rPr>
            </w:pPr>
            <w:r w:rsidRPr="00F340F3">
              <w:rPr>
                <w:rFonts w:ascii="Arial" w:hAnsi="Arial" w:cs="Arial"/>
                <w:b/>
                <w:sz w:val="22"/>
                <w:szCs w:val="22"/>
              </w:rPr>
              <w:t xml:space="preserve">Reference nosilca / Lecturer's references: </w:t>
            </w:r>
          </w:p>
        </w:tc>
      </w:tr>
      <w:tr w:rsidR="00684CDF" w:rsidRPr="00F340F3" w14:paraId="0C7D3858" w14:textId="77777777" w:rsidTr="00921242">
        <w:tc>
          <w:tcPr>
            <w:tcW w:w="9690" w:type="dxa"/>
            <w:gridSpan w:val="6"/>
            <w:tcBorders>
              <w:top w:val="single" w:sz="4" w:space="0" w:color="auto"/>
              <w:left w:val="single" w:sz="4" w:space="0" w:color="auto"/>
              <w:bottom w:val="single" w:sz="4" w:space="0" w:color="auto"/>
              <w:right w:val="single" w:sz="4" w:space="0" w:color="auto"/>
            </w:tcBorders>
          </w:tcPr>
          <w:p w14:paraId="04CC3316" w14:textId="77777777" w:rsidR="00DC2C8F" w:rsidRPr="00461F3F" w:rsidRDefault="00DC2C8F" w:rsidP="00DC2C8F">
            <w:pPr>
              <w:rPr>
                <w:rFonts w:eastAsia="Times New Roman"/>
                <w:lang w:val="es-ES" w:eastAsia="en-GB"/>
              </w:rPr>
            </w:pPr>
            <w:r w:rsidRPr="00461F3F">
              <w:rPr>
                <w:rFonts w:eastAsia="Times New Roman"/>
                <w:color w:val="333333"/>
                <w:shd w:val="clear" w:color="auto" w:fill="FFFFFF"/>
                <w:lang w:eastAsia="en-GB"/>
              </w:rPr>
              <w:t xml:space="preserve">Andrej Kristan, 2008: </w:t>
            </w:r>
            <w:r w:rsidRPr="00E732C0">
              <w:rPr>
                <w:rFonts w:eastAsia="Times New Roman"/>
                <w:color w:val="333333"/>
                <w:shd w:val="clear" w:color="auto" w:fill="FFFFFF"/>
                <w:lang w:eastAsia="en-GB"/>
              </w:rPr>
              <w:t>Razpravna ali institucionalna legitimnost posamezne ustavno(sodne) odločitve</w:t>
            </w:r>
            <w:r w:rsidRPr="00461F3F">
              <w:rPr>
                <w:rFonts w:eastAsia="Times New Roman"/>
                <w:color w:val="333333"/>
                <w:shd w:val="clear" w:color="auto" w:fill="FFFFFF"/>
                <w:lang w:eastAsia="en-GB"/>
              </w:rPr>
              <w:t>, </w:t>
            </w:r>
            <w:r w:rsidRPr="00461F3F">
              <w:rPr>
                <w:rFonts w:eastAsia="Times New Roman"/>
                <w:i/>
                <w:iCs/>
                <w:color w:val="333333"/>
                <w:shd w:val="clear" w:color="auto" w:fill="FFFFFF"/>
                <w:lang w:eastAsia="en-GB"/>
              </w:rPr>
              <w:t xml:space="preserve">REVUS – Revija za evropsko ustavnost, </w:t>
            </w:r>
            <w:r w:rsidRPr="00461F3F">
              <w:rPr>
                <w:rFonts w:eastAsia="Times New Roman"/>
                <w:color w:val="333333"/>
                <w:shd w:val="clear" w:color="auto" w:fill="FFFFFF"/>
                <w:lang w:eastAsia="en-GB"/>
              </w:rPr>
              <w:t xml:space="preserve">7, pp. 51-86. </w:t>
            </w:r>
            <w:r w:rsidRPr="00461F3F">
              <w:rPr>
                <w:rFonts w:eastAsia="Times New Roman"/>
                <w:color w:val="333333"/>
                <w:shd w:val="clear" w:color="auto" w:fill="FFFFFF"/>
                <w:lang w:val="es-ES" w:eastAsia="en-GB"/>
              </w:rPr>
              <w:t>URL: http://journals.openedition.org/revus/902.</w:t>
            </w:r>
          </w:p>
          <w:p w14:paraId="28D077B5" w14:textId="77777777" w:rsidR="00DC2C8F" w:rsidRDefault="00DC2C8F" w:rsidP="00DC2C8F"/>
          <w:p w14:paraId="608D34BE" w14:textId="77777777" w:rsidR="00DC2C8F" w:rsidRDefault="00DC2C8F" w:rsidP="00DC2C8F">
            <w:pPr>
              <w:rPr>
                <w:color w:val="000000"/>
              </w:rPr>
            </w:pPr>
            <w:r>
              <w:t>Andrej Kristan, 2014: V bran izraznemu pojmovanju pravil</w:t>
            </w:r>
            <w:r>
              <w:rPr>
                <w:color w:val="000000"/>
              </w:rPr>
              <w:t>, </w:t>
            </w:r>
            <w:r>
              <w:rPr>
                <w:i/>
                <w:iCs/>
                <w:color w:val="000000"/>
              </w:rPr>
              <w:t>Revus. Journal for Constitutional Theory and Philosophy of Law</w:t>
            </w:r>
            <w:r>
              <w:rPr>
                <w:color w:val="000000"/>
              </w:rPr>
              <w:t xml:space="preserve"> (2014) 22, pp. 67-87. URL: </w:t>
            </w:r>
            <w:r w:rsidRPr="003A122A">
              <w:rPr>
                <w:color w:val="000000"/>
              </w:rPr>
              <w:t>https://journals.openedition.org/revus/2986</w:t>
            </w:r>
          </w:p>
          <w:p w14:paraId="242D3CA2" w14:textId="77777777" w:rsidR="00DC2C8F" w:rsidRDefault="00DC2C8F" w:rsidP="00DC2C8F">
            <w:pPr>
              <w:rPr>
                <w:color w:val="000000"/>
              </w:rPr>
            </w:pPr>
          </w:p>
          <w:p w14:paraId="767BE3FF" w14:textId="77777777" w:rsidR="00DC2C8F" w:rsidRPr="00D61AF3" w:rsidRDefault="00DC2C8F" w:rsidP="00DC2C8F">
            <w:pPr>
              <w:rPr>
                <w:rFonts w:cs="Calibri"/>
              </w:rPr>
            </w:pPr>
            <w:r>
              <w:rPr>
                <w:rFonts w:cs="Calibri"/>
                <w:color w:val="000000"/>
              </w:rPr>
              <w:t xml:space="preserve">Andrej Kristan, 2018a: </w:t>
            </w:r>
            <w:r w:rsidRPr="00D61AF3">
              <w:rPr>
                <w:rFonts w:cs="Calibri"/>
                <w:color w:val="000000"/>
              </w:rPr>
              <w:t>Assessment Sensitivity in Legal Discourse</w:t>
            </w:r>
            <w:r w:rsidRPr="00D61AF3">
              <w:rPr>
                <w:rFonts w:cs="Calibri"/>
                <w:color w:val="222222"/>
              </w:rPr>
              <w:t>, </w:t>
            </w:r>
            <w:r w:rsidRPr="00D61AF3">
              <w:rPr>
                <w:rFonts w:cs="Calibri"/>
                <w:i/>
                <w:iCs/>
                <w:color w:val="222222"/>
              </w:rPr>
              <w:t>Inquiry: An Interdisciplinary Journal of Philosophy</w:t>
            </w:r>
            <w:r w:rsidRPr="00D61AF3">
              <w:rPr>
                <w:rFonts w:cs="Calibri"/>
                <w:color w:val="222222"/>
              </w:rPr>
              <w:t>, Volume 61 - 2018, Issue 4. URL: https://www.tandfonline.com/doi/full/10.1080/0020174X.2017.1371874</w:t>
            </w:r>
          </w:p>
          <w:p w14:paraId="09E6A2FA" w14:textId="77777777" w:rsidR="00DC2C8F" w:rsidRDefault="00DC2C8F" w:rsidP="00DC2C8F">
            <w:pPr>
              <w:rPr>
                <w:rFonts w:ascii="Times New Roman" w:eastAsia="Times New Roman" w:hAnsi="Times New Roman"/>
                <w:color w:val="000000"/>
                <w:lang w:eastAsia="en-GB"/>
              </w:rPr>
            </w:pPr>
          </w:p>
          <w:p w14:paraId="700715AD" w14:textId="77777777" w:rsidR="00DC2C8F" w:rsidRPr="003A122A" w:rsidRDefault="00DC2C8F" w:rsidP="00DC2C8F">
            <w:pPr>
              <w:rPr>
                <w:rFonts w:cs="Calibri"/>
              </w:rPr>
            </w:pPr>
            <w:r w:rsidRPr="003A122A">
              <w:rPr>
                <w:rFonts w:cs="Calibri"/>
              </w:rPr>
              <w:t>Andrej Kristan, 2018b: Another Way to Meet Hart's Challenge</w:t>
            </w:r>
            <w:r w:rsidRPr="003A122A">
              <w:rPr>
                <w:rFonts w:cs="Calibri"/>
                <w:color w:val="000000"/>
              </w:rPr>
              <w:t>, </w:t>
            </w:r>
            <w:r w:rsidRPr="003A122A">
              <w:rPr>
                <w:rFonts w:cs="Calibri"/>
                <w:i/>
                <w:iCs/>
                <w:color w:val="000000"/>
              </w:rPr>
              <w:t>Unpacking Normativity. </w:t>
            </w:r>
            <w:r w:rsidRPr="003A122A">
              <w:rPr>
                <w:rFonts w:cs="Calibri"/>
                <w:color w:val="000000"/>
              </w:rPr>
              <w:t>Eds. Himma et al. Oxford: Hart Publishing, 2018.</w:t>
            </w:r>
          </w:p>
          <w:p w14:paraId="0FA01CCA" w14:textId="77777777" w:rsidR="00684CDF" w:rsidRPr="00F340F3" w:rsidRDefault="00684CDF" w:rsidP="00684CDF">
            <w:pPr>
              <w:pStyle w:val="Telobesedila3"/>
              <w:spacing w:line="240" w:lineRule="auto"/>
              <w:rPr>
                <w:rFonts w:cs="Arial"/>
                <w:szCs w:val="22"/>
              </w:rPr>
            </w:pPr>
          </w:p>
        </w:tc>
      </w:tr>
    </w:tbl>
    <w:p w14:paraId="3AE73BF8" w14:textId="77777777" w:rsidR="00DE2103" w:rsidRPr="00F340F3" w:rsidRDefault="00DE2103">
      <w:pPr>
        <w:rPr>
          <w:rFonts w:ascii="Arial" w:hAnsi="Arial" w:cs="Arial"/>
          <w:sz w:val="22"/>
          <w:szCs w:val="22"/>
        </w:rPr>
      </w:pPr>
    </w:p>
    <w:sectPr w:rsidR="00DE2103" w:rsidRPr="00F340F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5E32" w14:textId="77777777" w:rsidR="00B46C82" w:rsidRDefault="00B46C82" w:rsidP="0091454C">
      <w:r>
        <w:separator/>
      </w:r>
    </w:p>
  </w:endnote>
  <w:endnote w:type="continuationSeparator" w:id="0">
    <w:p w14:paraId="3DF80692" w14:textId="77777777" w:rsidR="00B46C82" w:rsidRDefault="00B46C82" w:rsidP="0091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02392"/>
      <w:docPartObj>
        <w:docPartGallery w:val="Page Numbers (Bottom of Page)"/>
        <w:docPartUnique/>
      </w:docPartObj>
    </w:sdtPr>
    <w:sdtEndPr/>
    <w:sdtContent>
      <w:p w14:paraId="3CBAA2AB" w14:textId="421E1729" w:rsidR="0091454C" w:rsidRDefault="0091454C" w:rsidP="0091454C">
        <w:pPr>
          <w:pStyle w:val="Noga"/>
          <w:jc w:val="right"/>
        </w:pPr>
        <w:r>
          <w:fldChar w:fldCharType="begin"/>
        </w:r>
        <w:r>
          <w:instrText>PAGE   \* MERGEFORMAT</w:instrText>
        </w:r>
        <w:r>
          <w:fldChar w:fldCharType="separate"/>
        </w:r>
        <w:r w:rsidR="00B369F7">
          <w:rPr>
            <w:noProof/>
          </w:rPr>
          <w:t>3</w:t>
        </w:r>
        <w:r>
          <w:fldChar w:fldCharType="end"/>
        </w:r>
        <w:r>
          <w:t>/6</w:t>
        </w:r>
      </w:p>
    </w:sdtContent>
  </w:sdt>
  <w:p w14:paraId="5EFF51A3" w14:textId="77777777" w:rsidR="0091454C" w:rsidRDefault="009145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6BAF" w14:textId="77777777" w:rsidR="00B46C82" w:rsidRDefault="00B46C82" w:rsidP="0091454C">
      <w:r>
        <w:separator/>
      </w:r>
    </w:p>
  </w:footnote>
  <w:footnote w:type="continuationSeparator" w:id="0">
    <w:p w14:paraId="5D12B5DC" w14:textId="77777777" w:rsidR="00B46C82" w:rsidRDefault="00B46C82" w:rsidP="0091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DB0"/>
    <w:multiLevelType w:val="hybridMultilevel"/>
    <w:tmpl w:val="8E721478"/>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94315"/>
    <w:multiLevelType w:val="hybridMultilevel"/>
    <w:tmpl w:val="A046254E"/>
    <w:lvl w:ilvl="0" w:tplc="8C481032">
      <w:start w:val="1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82C66"/>
    <w:multiLevelType w:val="hybridMultilevel"/>
    <w:tmpl w:val="C7907A24"/>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17579"/>
    <w:multiLevelType w:val="hybridMultilevel"/>
    <w:tmpl w:val="F1F6142E"/>
    <w:lvl w:ilvl="0" w:tplc="F476EEA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F1D67"/>
    <w:multiLevelType w:val="hybridMultilevel"/>
    <w:tmpl w:val="12B4E4EC"/>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03C5F"/>
    <w:multiLevelType w:val="hybridMultilevel"/>
    <w:tmpl w:val="D026C224"/>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BA16BE"/>
    <w:multiLevelType w:val="hybridMultilevel"/>
    <w:tmpl w:val="B50CFC6C"/>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DA234A"/>
    <w:multiLevelType w:val="hybridMultilevel"/>
    <w:tmpl w:val="1C1236B6"/>
    <w:lvl w:ilvl="0" w:tplc="0424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07613">
    <w:abstractNumId w:val="0"/>
  </w:num>
  <w:num w:numId="2" w16cid:durableId="1230917913">
    <w:abstractNumId w:val="4"/>
  </w:num>
  <w:num w:numId="3" w16cid:durableId="2041934762">
    <w:abstractNumId w:val="2"/>
  </w:num>
  <w:num w:numId="4" w16cid:durableId="909004163">
    <w:abstractNumId w:val="6"/>
  </w:num>
  <w:num w:numId="5" w16cid:durableId="1191916716">
    <w:abstractNumId w:val="5"/>
  </w:num>
  <w:num w:numId="6" w16cid:durableId="1093934530">
    <w:abstractNumId w:val="7"/>
  </w:num>
  <w:num w:numId="7" w16cid:durableId="1817064199">
    <w:abstractNumId w:val="3"/>
  </w:num>
  <w:num w:numId="8" w16cid:durableId="109852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48"/>
    <w:rsid w:val="00001F4C"/>
    <w:rsid w:val="000237D3"/>
    <w:rsid w:val="00024764"/>
    <w:rsid w:val="00075AEE"/>
    <w:rsid w:val="00083836"/>
    <w:rsid w:val="000908F6"/>
    <w:rsid w:val="000C15EA"/>
    <w:rsid w:val="000D0247"/>
    <w:rsid w:val="001045CA"/>
    <w:rsid w:val="001508BD"/>
    <w:rsid w:val="0018335E"/>
    <w:rsid w:val="0019111C"/>
    <w:rsid w:val="001928FE"/>
    <w:rsid w:val="001C0A8E"/>
    <w:rsid w:val="00225270"/>
    <w:rsid w:val="002D239A"/>
    <w:rsid w:val="002E2127"/>
    <w:rsid w:val="002E2E82"/>
    <w:rsid w:val="0035088B"/>
    <w:rsid w:val="00356393"/>
    <w:rsid w:val="00357F24"/>
    <w:rsid w:val="003A7FD6"/>
    <w:rsid w:val="003B5612"/>
    <w:rsid w:val="003D1A24"/>
    <w:rsid w:val="003D6324"/>
    <w:rsid w:val="0042303C"/>
    <w:rsid w:val="00423601"/>
    <w:rsid w:val="00461F3F"/>
    <w:rsid w:val="00466374"/>
    <w:rsid w:val="004D43BC"/>
    <w:rsid w:val="004F01C3"/>
    <w:rsid w:val="005A3F26"/>
    <w:rsid w:val="005B3BEE"/>
    <w:rsid w:val="006545B9"/>
    <w:rsid w:val="00660868"/>
    <w:rsid w:val="00663C55"/>
    <w:rsid w:val="00676980"/>
    <w:rsid w:val="00684CDF"/>
    <w:rsid w:val="00693BE0"/>
    <w:rsid w:val="00695322"/>
    <w:rsid w:val="006C1B97"/>
    <w:rsid w:val="006D217F"/>
    <w:rsid w:val="006E17B4"/>
    <w:rsid w:val="007728C6"/>
    <w:rsid w:val="007C2C69"/>
    <w:rsid w:val="00857E48"/>
    <w:rsid w:val="00867E97"/>
    <w:rsid w:val="008746C4"/>
    <w:rsid w:val="00875930"/>
    <w:rsid w:val="008836A8"/>
    <w:rsid w:val="008A33CF"/>
    <w:rsid w:val="008B63C8"/>
    <w:rsid w:val="008E74CA"/>
    <w:rsid w:val="0091454C"/>
    <w:rsid w:val="00921242"/>
    <w:rsid w:val="00932797"/>
    <w:rsid w:val="00990B16"/>
    <w:rsid w:val="009A1335"/>
    <w:rsid w:val="009A5022"/>
    <w:rsid w:val="00A030AE"/>
    <w:rsid w:val="00A221BF"/>
    <w:rsid w:val="00A366AD"/>
    <w:rsid w:val="00A81CA3"/>
    <w:rsid w:val="00A9194D"/>
    <w:rsid w:val="00AC0C81"/>
    <w:rsid w:val="00AC4179"/>
    <w:rsid w:val="00B369F7"/>
    <w:rsid w:val="00B46C82"/>
    <w:rsid w:val="00B555FA"/>
    <w:rsid w:val="00B86A19"/>
    <w:rsid w:val="00B90730"/>
    <w:rsid w:val="00BB6297"/>
    <w:rsid w:val="00BE1068"/>
    <w:rsid w:val="00C31797"/>
    <w:rsid w:val="00C3604A"/>
    <w:rsid w:val="00C54939"/>
    <w:rsid w:val="00CB0BF9"/>
    <w:rsid w:val="00CE6774"/>
    <w:rsid w:val="00D067B6"/>
    <w:rsid w:val="00D4528C"/>
    <w:rsid w:val="00D5414B"/>
    <w:rsid w:val="00DB4BBE"/>
    <w:rsid w:val="00DC0971"/>
    <w:rsid w:val="00DC2C8F"/>
    <w:rsid w:val="00DC31FD"/>
    <w:rsid w:val="00DD3109"/>
    <w:rsid w:val="00DE2103"/>
    <w:rsid w:val="00E639A6"/>
    <w:rsid w:val="00E87C58"/>
    <w:rsid w:val="00EF24C6"/>
    <w:rsid w:val="00F04359"/>
    <w:rsid w:val="00F166B7"/>
    <w:rsid w:val="00F30C51"/>
    <w:rsid w:val="00F340F3"/>
    <w:rsid w:val="00F627E7"/>
    <w:rsid w:val="00F7425B"/>
    <w:rsid w:val="00F86AED"/>
    <w:rsid w:val="00F96E19"/>
    <w:rsid w:val="00FD47E6"/>
    <w:rsid w:val="00FE2D3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5C019"/>
  <w15:docId w15:val="{20A4E7FD-4C3C-4E99-9E0A-7AB57937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7E48"/>
    <w:pPr>
      <w:spacing w:after="0" w:line="240" w:lineRule="auto"/>
    </w:pPr>
    <w:rPr>
      <w:rFonts w:ascii="Calibri" w:eastAsia="Calibri" w:hAnsi="Calibri"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30C51"/>
    <w:pPr>
      <w:ind w:left="720"/>
      <w:contextualSpacing/>
    </w:pPr>
  </w:style>
  <w:style w:type="paragraph" w:styleId="Glava">
    <w:name w:val="header"/>
    <w:basedOn w:val="Navaden"/>
    <w:link w:val="GlavaZnak"/>
    <w:uiPriority w:val="99"/>
    <w:unhideWhenUsed/>
    <w:rsid w:val="0091454C"/>
    <w:pPr>
      <w:tabs>
        <w:tab w:val="center" w:pos="4536"/>
        <w:tab w:val="right" w:pos="9072"/>
      </w:tabs>
    </w:pPr>
  </w:style>
  <w:style w:type="character" w:customStyle="1" w:styleId="GlavaZnak">
    <w:name w:val="Glava Znak"/>
    <w:basedOn w:val="Privzetapisavaodstavka"/>
    <w:link w:val="Glava"/>
    <w:uiPriority w:val="99"/>
    <w:rsid w:val="0091454C"/>
    <w:rPr>
      <w:rFonts w:ascii="Calibri" w:eastAsia="Calibri" w:hAnsi="Calibri" w:cs="Times New Roman"/>
      <w:sz w:val="24"/>
      <w:szCs w:val="24"/>
      <w:lang w:eastAsia="sl-SI"/>
    </w:rPr>
  </w:style>
  <w:style w:type="paragraph" w:styleId="Noga">
    <w:name w:val="footer"/>
    <w:basedOn w:val="Navaden"/>
    <w:link w:val="NogaZnak"/>
    <w:uiPriority w:val="99"/>
    <w:unhideWhenUsed/>
    <w:rsid w:val="0091454C"/>
    <w:pPr>
      <w:tabs>
        <w:tab w:val="center" w:pos="4536"/>
        <w:tab w:val="right" w:pos="9072"/>
      </w:tabs>
    </w:pPr>
  </w:style>
  <w:style w:type="character" w:customStyle="1" w:styleId="NogaZnak">
    <w:name w:val="Noga Znak"/>
    <w:basedOn w:val="Privzetapisavaodstavka"/>
    <w:link w:val="Noga"/>
    <w:uiPriority w:val="99"/>
    <w:rsid w:val="0091454C"/>
    <w:rPr>
      <w:rFonts w:ascii="Calibri" w:eastAsia="Calibri" w:hAnsi="Calibri" w:cs="Times New Roman"/>
      <w:sz w:val="24"/>
      <w:szCs w:val="24"/>
      <w:lang w:eastAsia="sl-SI"/>
    </w:rPr>
  </w:style>
  <w:style w:type="paragraph" w:styleId="Besedilooblaka">
    <w:name w:val="Balloon Text"/>
    <w:basedOn w:val="Navaden"/>
    <w:link w:val="BesedilooblakaZnak"/>
    <w:uiPriority w:val="99"/>
    <w:semiHidden/>
    <w:unhideWhenUsed/>
    <w:rsid w:val="003B561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5612"/>
    <w:rPr>
      <w:rFonts w:ascii="Segoe UI" w:eastAsia="Calibri" w:hAnsi="Segoe UI" w:cs="Segoe UI"/>
      <w:sz w:val="18"/>
      <w:szCs w:val="18"/>
      <w:lang w:eastAsia="sl-SI"/>
    </w:rPr>
  </w:style>
  <w:style w:type="paragraph" w:styleId="Telobesedila">
    <w:name w:val="Body Text"/>
    <w:basedOn w:val="Navaden"/>
    <w:link w:val="TelobesedilaZnak"/>
    <w:rsid w:val="00693BE0"/>
    <w:rPr>
      <w:rFonts w:ascii="Arial" w:eastAsia="Times New Roman" w:hAnsi="Arial"/>
      <w:noProof/>
      <w:sz w:val="22"/>
      <w:szCs w:val="20"/>
      <w:lang w:eastAsia="en-US"/>
    </w:rPr>
  </w:style>
  <w:style w:type="character" w:customStyle="1" w:styleId="TelobesedilaZnak">
    <w:name w:val="Telo besedila Znak"/>
    <w:basedOn w:val="Privzetapisavaodstavka"/>
    <w:link w:val="Telobesedila"/>
    <w:rsid w:val="00693BE0"/>
    <w:rPr>
      <w:rFonts w:ascii="Arial" w:eastAsia="Times New Roman" w:hAnsi="Arial" w:cs="Times New Roman"/>
      <w:noProof/>
      <w:szCs w:val="20"/>
    </w:rPr>
  </w:style>
  <w:style w:type="paragraph" w:styleId="Telobesedila3">
    <w:name w:val="Body Text 3"/>
    <w:basedOn w:val="Navaden"/>
    <w:link w:val="Telobesedila3Znak"/>
    <w:rsid w:val="00693BE0"/>
    <w:pPr>
      <w:spacing w:line="360" w:lineRule="auto"/>
    </w:pPr>
    <w:rPr>
      <w:rFonts w:ascii="Arial" w:eastAsia="Times New Roman" w:hAnsi="Arial"/>
      <w:b/>
      <w:noProof/>
      <w:sz w:val="22"/>
      <w:szCs w:val="20"/>
      <w:lang w:val="en-GB" w:eastAsia="en-US"/>
    </w:rPr>
  </w:style>
  <w:style w:type="character" w:customStyle="1" w:styleId="Telobesedila3Znak">
    <w:name w:val="Telo besedila 3 Znak"/>
    <w:basedOn w:val="Privzetapisavaodstavka"/>
    <w:link w:val="Telobesedila3"/>
    <w:rsid w:val="00693BE0"/>
    <w:rPr>
      <w:rFonts w:ascii="Arial" w:eastAsia="Times New Roman" w:hAnsi="Arial" w:cs="Times New Roman"/>
      <w:b/>
      <w:noProof/>
      <w:szCs w:val="20"/>
      <w:lang w:val="en-GB"/>
    </w:rPr>
  </w:style>
  <w:style w:type="paragraph" w:styleId="Revizija">
    <w:name w:val="Revision"/>
    <w:hidden/>
    <w:uiPriority w:val="99"/>
    <w:semiHidden/>
    <w:rsid w:val="001508BD"/>
    <w:pPr>
      <w:spacing w:after="0" w:line="240" w:lineRule="auto"/>
    </w:pPr>
    <w:rPr>
      <w:rFonts w:ascii="Calibri" w:eastAsia="Calibri" w:hAnsi="Calibri" w:cs="Times New Roman"/>
      <w:sz w:val="24"/>
      <w:szCs w:val="24"/>
      <w:lang w:eastAsia="sl-SI"/>
    </w:rPr>
  </w:style>
  <w:style w:type="character" w:styleId="Hiperpovezava">
    <w:name w:val="Hyperlink"/>
    <w:basedOn w:val="Privzetapisavaodstavka"/>
    <w:uiPriority w:val="99"/>
    <w:unhideWhenUsed/>
    <w:rsid w:val="00A221BF"/>
    <w:rPr>
      <w:color w:val="0000FF" w:themeColor="hyperlink"/>
      <w:u w:val="single"/>
    </w:rPr>
  </w:style>
  <w:style w:type="character" w:customStyle="1" w:styleId="UnresolvedMention1">
    <w:name w:val="Unresolved Mention1"/>
    <w:basedOn w:val="Privzetapisavaodstavka"/>
    <w:uiPriority w:val="99"/>
    <w:semiHidden/>
    <w:unhideWhenUsed/>
    <w:rsid w:val="00A2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3715">
      <w:bodyDiv w:val="1"/>
      <w:marLeft w:val="0"/>
      <w:marRight w:val="0"/>
      <w:marTop w:val="0"/>
      <w:marBottom w:val="0"/>
      <w:divBdr>
        <w:top w:val="none" w:sz="0" w:space="0" w:color="auto"/>
        <w:left w:val="none" w:sz="0" w:space="0" w:color="auto"/>
        <w:bottom w:val="none" w:sz="0" w:space="0" w:color="auto"/>
        <w:right w:val="none" w:sz="0" w:space="0" w:color="auto"/>
      </w:divBdr>
      <w:divsChild>
        <w:div w:id="521553007">
          <w:blockQuote w:val="1"/>
          <w:marLeft w:val="600"/>
          <w:marRight w:val="0"/>
          <w:marTop w:val="0"/>
          <w:marBottom w:val="0"/>
          <w:divBdr>
            <w:top w:val="none" w:sz="0" w:space="0" w:color="auto"/>
            <w:left w:val="none" w:sz="0" w:space="0" w:color="auto"/>
            <w:bottom w:val="none" w:sz="0" w:space="0" w:color="auto"/>
            <w:right w:val="none" w:sz="0" w:space="0" w:color="auto"/>
          </w:divBdr>
          <w:divsChild>
            <w:div w:id="730924056">
              <w:marLeft w:val="0"/>
              <w:marRight w:val="0"/>
              <w:marTop w:val="0"/>
              <w:marBottom w:val="0"/>
              <w:divBdr>
                <w:top w:val="none" w:sz="0" w:space="0" w:color="auto"/>
                <w:left w:val="none" w:sz="0" w:space="0" w:color="auto"/>
                <w:bottom w:val="none" w:sz="0" w:space="0" w:color="auto"/>
                <w:right w:val="none" w:sz="0" w:space="0" w:color="auto"/>
              </w:divBdr>
            </w:div>
          </w:divsChild>
        </w:div>
        <w:div w:id="839269474">
          <w:blockQuote w:val="1"/>
          <w:marLeft w:val="600"/>
          <w:marRight w:val="0"/>
          <w:marTop w:val="0"/>
          <w:marBottom w:val="0"/>
          <w:divBdr>
            <w:top w:val="none" w:sz="0" w:space="0" w:color="auto"/>
            <w:left w:val="none" w:sz="0" w:space="0" w:color="auto"/>
            <w:bottom w:val="none" w:sz="0" w:space="0" w:color="auto"/>
            <w:right w:val="none" w:sz="0" w:space="0" w:color="auto"/>
          </w:divBdr>
          <w:divsChild>
            <w:div w:id="17013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4ABF7-DC51-40E5-8652-C5AFD0295986}">
  <ds:schemaRefs>
    <ds:schemaRef ds:uri="http://schemas.openxmlformats.org/officeDocument/2006/bibliography"/>
  </ds:schemaRefs>
</ds:datastoreItem>
</file>

<file path=customXml/itemProps2.xml><?xml version="1.0" encoding="utf-8"?>
<ds:datastoreItem xmlns:ds="http://schemas.openxmlformats.org/officeDocument/2006/customXml" ds:itemID="{A7E2D6B6-0C60-4E4E-9DA2-E92349642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5628DC-963D-42D7-AE06-4A996B912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9017C-02A6-43F4-B8B2-DB68849F0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Rabzelj</dc:creator>
  <cp:lastModifiedBy>Marentič, Maja</cp:lastModifiedBy>
  <cp:revision>2</cp:revision>
  <cp:lastPrinted>2016-02-11T17:37:00Z</cp:lastPrinted>
  <dcterms:created xsi:type="dcterms:W3CDTF">2025-07-01T09:34:00Z</dcterms:created>
  <dcterms:modified xsi:type="dcterms:W3CDTF">2025-07-01T09:34:00Z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