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45C16" w:rsidRPr="007348A1" w14:paraId="327F155B" w14:textId="77777777" w:rsidTr="00AA5CB8">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14:paraId="1D53CA28" w14:textId="77777777" w:rsidR="00045C16" w:rsidRPr="007348A1" w:rsidRDefault="00045C16" w:rsidP="00502368">
            <w:pPr>
              <w:jc w:val="center"/>
              <w:rPr>
                <w:rFonts w:ascii="Arial" w:hAnsi="Arial" w:cs="Arial"/>
                <w:b/>
                <w:sz w:val="22"/>
                <w:szCs w:val="22"/>
              </w:rPr>
            </w:pPr>
            <w:bookmarkStart w:id="0" w:name="_GoBack"/>
            <w:bookmarkEnd w:id="0"/>
            <w:r w:rsidRPr="007348A1">
              <w:rPr>
                <w:rFonts w:ascii="Arial" w:hAnsi="Arial" w:cs="Arial"/>
                <w:b/>
                <w:sz w:val="22"/>
                <w:szCs w:val="22"/>
              </w:rPr>
              <w:t>UČNI NAČRT PREDMETA / COURSE SYLLABUS</w:t>
            </w:r>
          </w:p>
        </w:tc>
      </w:tr>
      <w:tr w:rsidR="00045C16" w:rsidRPr="007348A1" w14:paraId="6B4DD349" w14:textId="77777777" w:rsidTr="00AA5CB8">
        <w:tc>
          <w:tcPr>
            <w:tcW w:w="1799" w:type="dxa"/>
            <w:gridSpan w:val="3"/>
          </w:tcPr>
          <w:p w14:paraId="50632012" w14:textId="77777777" w:rsidR="00045C16" w:rsidRPr="007348A1" w:rsidRDefault="00045C16" w:rsidP="00502368">
            <w:pPr>
              <w:rPr>
                <w:rFonts w:ascii="Arial" w:hAnsi="Arial" w:cs="Arial"/>
                <w:b/>
                <w:sz w:val="22"/>
                <w:szCs w:val="22"/>
              </w:rPr>
            </w:pPr>
            <w:r w:rsidRPr="007348A1">
              <w:rPr>
                <w:rFonts w:ascii="Arial" w:hAnsi="Arial" w:cs="Arial"/>
                <w:b/>
                <w:sz w:val="22"/>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14:paraId="05D22E7B" w14:textId="77777777" w:rsidR="00045C16" w:rsidRPr="007348A1" w:rsidRDefault="00053E0C" w:rsidP="00502368">
            <w:pPr>
              <w:rPr>
                <w:rFonts w:ascii="Arial" w:hAnsi="Arial" w:cs="Arial"/>
                <w:b/>
                <w:sz w:val="22"/>
                <w:szCs w:val="22"/>
              </w:rPr>
            </w:pPr>
            <w:bookmarkStart w:id="1" w:name="Predmet"/>
            <w:bookmarkEnd w:id="1"/>
            <w:r w:rsidRPr="007348A1">
              <w:rPr>
                <w:rFonts w:ascii="Arial" w:hAnsi="Arial" w:cs="Arial"/>
                <w:b/>
                <w:sz w:val="22"/>
                <w:szCs w:val="22"/>
              </w:rPr>
              <w:t>Pravo migracij in azila</w:t>
            </w:r>
          </w:p>
        </w:tc>
      </w:tr>
      <w:tr w:rsidR="00045C16" w:rsidRPr="007348A1" w14:paraId="7EFFFF17" w14:textId="77777777" w:rsidTr="00AA5CB8">
        <w:tc>
          <w:tcPr>
            <w:tcW w:w="1799" w:type="dxa"/>
            <w:gridSpan w:val="3"/>
          </w:tcPr>
          <w:p w14:paraId="23AF96FA" w14:textId="77777777" w:rsidR="00045C16" w:rsidRPr="007348A1" w:rsidRDefault="00045C16" w:rsidP="00502368">
            <w:pPr>
              <w:rPr>
                <w:rFonts w:ascii="Arial" w:hAnsi="Arial" w:cs="Arial"/>
                <w:b/>
                <w:sz w:val="22"/>
                <w:szCs w:val="22"/>
              </w:rPr>
            </w:pPr>
            <w:r w:rsidRPr="007348A1">
              <w:rPr>
                <w:rFonts w:ascii="Arial" w:hAnsi="Arial" w:cs="Arial"/>
                <w:b/>
                <w:sz w:val="22"/>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14:paraId="223FA740" w14:textId="77777777" w:rsidR="00045C16" w:rsidRPr="007348A1" w:rsidRDefault="00053E0C" w:rsidP="00045C16">
            <w:pPr>
              <w:rPr>
                <w:rFonts w:ascii="Arial" w:hAnsi="Arial" w:cs="Arial"/>
                <w:sz w:val="22"/>
                <w:szCs w:val="22"/>
              </w:rPr>
            </w:pPr>
            <w:bookmarkStart w:id="2" w:name="APredmet"/>
            <w:bookmarkEnd w:id="2"/>
            <w:r w:rsidRPr="007348A1">
              <w:rPr>
                <w:rFonts w:ascii="Arial" w:hAnsi="Arial" w:cs="Arial"/>
                <w:b/>
                <w:bCs/>
                <w:sz w:val="22"/>
                <w:szCs w:val="22"/>
              </w:rPr>
              <w:t>Migration and Refugee Law</w:t>
            </w:r>
          </w:p>
        </w:tc>
      </w:tr>
      <w:tr w:rsidR="00045C16" w:rsidRPr="007348A1" w14:paraId="046E05B6" w14:textId="77777777" w:rsidTr="00AA5CB8">
        <w:tc>
          <w:tcPr>
            <w:tcW w:w="3307" w:type="dxa"/>
            <w:gridSpan w:val="5"/>
            <w:vAlign w:val="center"/>
          </w:tcPr>
          <w:p w14:paraId="3DEA0214" w14:textId="77777777" w:rsidR="00045C16" w:rsidRPr="007348A1" w:rsidRDefault="00045C16" w:rsidP="00502368">
            <w:pPr>
              <w:jc w:val="center"/>
              <w:rPr>
                <w:rFonts w:ascii="Arial" w:hAnsi="Arial" w:cs="Arial"/>
                <w:b/>
                <w:sz w:val="22"/>
                <w:szCs w:val="22"/>
              </w:rPr>
            </w:pPr>
          </w:p>
        </w:tc>
        <w:tc>
          <w:tcPr>
            <w:tcW w:w="3401" w:type="dxa"/>
            <w:gridSpan w:val="8"/>
            <w:vAlign w:val="center"/>
          </w:tcPr>
          <w:p w14:paraId="555E8252" w14:textId="77777777" w:rsidR="00045C16" w:rsidRPr="007348A1" w:rsidRDefault="00045C16" w:rsidP="00502368">
            <w:pPr>
              <w:jc w:val="center"/>
              <w:rPr>
                <w:rFonts w:ascii="Arial" w:hAnsi="Arial" w:cs="Arial"/>
                <w:b/>
                <w:sz w:val="22"/>
                <w:szCs w:val="22"/>
              </w:rPr>
            </w:pPr>
          </w:p>
        </w:tc>
        <w:tc>
          <w:tcPr>
            <w:tcW w:w="1558" w:type="dxa"/>
            <w:gridSpan w:val="2"/>
            <w:vAlign w:val="center"/>
          </w:tcPr>
          <w:p w14:paraId="25BA6174" w14:textId="77777777" w:rsidR="00045C16" w:rsidRPr="007348A1" w:rsidRDefault="00045C16" w:rsidP="00502368">
            <w:pPr>
              <w:jc w:val="center"/>
              <w:rPr>
                <w:rFonts w:ascii="Arial" w:hAnsi="Arial" w:cs="Arial"/>
                <w:b/>
                <w:sz w:val="22"/>
                <w:szCs w:val="22"/>
              </w:rPr>
            </w:pPr>
          </w:p>
        </w:tc>
        <w:tc>
          <w:tcPr>
            <w:tcW w:w="1424" w:type="dxa"/>
            <w:gridSpan w:val="3"/>
            <w:vAlign w:val="center"/>
          </w:tcPr>
          <w:p w14:paraId="7A395490" w14:textId="77777777" w:rsidR="00045C16" w:rsidRPr="007348A1" w:rsidRDefault="00045C16" w:rsidP="00502368">
            <w:pPr>
              <w:jc w:val="center"/>
              <w:rPr>
                <w:rFonts w:ascii="Arial" w:hAnsi="Arial" w:cs="Arial"/>
                <w:b/>
                <w:sz w:val="22"/>
                <w:szCs w:val="22"/>
              </w:rPr>
            </w:pPr>
          </w:p>
        </w:tc>
      </w:tr>
      <w:tr w:rsidR="00045C16" w:rsidRPr="007348A1" w14:paraId="660BAA2C" w14:textId="77777777" w:rsidTr="00AA5CB8">
        <w:tc>
          <w:tcPr>
            <w:tcW w:w="3307" w:type="dxa"/>
            <w:gridSpan w:val="5"/>
            <w:tcBorders>
              <w:top w:val="nil"/>
              <w:left w:val="nil"/>
              <w:bottom w:val="single" w:sz="4" w:space="0" w:color="auto"/>
              <w:right w:val="nil"/>
            </w:tcBorders>
            <w:vAlign w:val="center"/>
          </w:tcPr>
          <w:p w14:paraId="0BDDD217"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Študijski program in stopnja</w:t>
            </w:r>
          </w:p>
          <w:p w14:paraId="57D16DF5" w14:textId="77777777" w:rsidR="00045C16" w:rsidRPr="007348A1" w:rsidRDefault="00045C16" w:rsidP="00502368">
            <w:pPr>
              <w:jc w:val="center"/>
              <w:rPr>
                <w:rFonts w:ascii="Arial" w:hAnsi="Arial" w:cs="Arial"/>
                <w:sz w:val="22"/>
                <w:szCs w:val="22"/>
              </w:rPr>
            </w:pPr>
            <w:r w:rsidRPr="007348A1">
              <w:rPr>
                <w:rFonts w:ascii="Arial" w:hAnsi="Arial" w:cs="Arial"/>
                <w:b/>
                <w:sz w:val="22"/>
                <w:szCs w:val="22"/>
              </w:rPr>
              <w:t>Study programme and level</w:t>
            </w:r>
          </w:p>
        </w:tc>
        <w:tc>
          <w:tcPr>
            <w:tcW w:w="3401" w:type="dxa"/>
            <w:gridSpan w:val="8"/>
            <w:tcBorders>
              <w:top w:val="nil"/>
              <w:left w:val="nil"/>
              <w:bottom w:val="single" w:sz="4" w:space="0" w:color="auto"/>
              <w:right w:val="nil"/>
            </w:tcBorders>
            <w:vAlign w:val="center"/>
          </w:tcPr>
          <w:p w14:paraId="18743349"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Študijska smer</w:t>
            </w:r>
          </w:p>
          <w:p w14:paraId="3CE044D9"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Study field</w:t>
            </w:r>
          </w:p>
        </w:tc>
        <w:tc>
          <w:tcPr>
            <w:tcW w:w="1558" w:type="dxa"/>
            <w:gridSpan w:val="2"/>
            <w:tcBorders>
              <w:top w:val="nil"/>
              <w:left w:val="nil"/>
              <w:bottom w:val="single" w:sz="4" w:space="0" w:color="auto"/>
              <w:right w:val="nil"/>
            </w:tcBorders>
            <w:vAlign w:val="center"/>
          </w:tcPr>
          <w:p w14:paraId="02BDFDB2"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Letnik</w:t>
            </w:r>
          </w:p>
          <w:p w14:paraId="4DBA465E"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Academic year</w:t>
            </w:r>
          </w:p>
        </w:tc>
        <w:tc>
          <w:tcPr>
            <w:tcW w:w="1424" w:type="dxa"/>
            <w:gridSpan w:val="3"/>
            <w:tcBorders>
              <w:top w:val="nil"/>
              <w:left w:val="nil"/>
              <w:bottom w:val="single" w:sz="4" w:space="0" w:color="auto"/>
              <w:right w:val="nil"/>
            </w:tcBorders>
            <w:vAlign w:val="center"/>
          </w:tcPr>
          <w:p w14:paraId="7E2A6089"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Semester</w:t>
            </w:r>
          </w:p>
          <w:p w14:paraId="3AC65730"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Semester</w:t>
            </w:r>
          </w:p>
        </w:tc>
      </w:tr>
      <w:tr w:rsidR="00AA5CB8" w:rsidRPr="007348A1" w14:paraId="24489FF2" w14:textId="77777777" w:rsidTr="00AA5CB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688C3CBD" w14:textId="66796F7F" w:rsidR="00AA5CB8" w:rsidRPr="007348A1" w:rsidRDefault="00AA5CB8" w:rsidP="007348A1">
            <w:pPr>
              <w:jc w:val="center"/>
              <w:rPr>
                <w:rFonts w:ascii="Arial" w:hAnsi="Arial" w:cs="Arial"/>
                <w:b/>
                <w:bCs/>
                <w:sz w:val="22"/>
                <w:szCs w:val="22"/>
              </w:rPr>
            </w:pPr>
            <w:r w:rsidRPr="007348A1">
              <w:rPr>
                <w:rFonts w:ascii="Arial" w:hAnsi="Arial" w:cs="Arial"/>
                <w:b/>
                <w:sz w:val="22"/>
                <w:szCs w:val="22"/>
              </w:rPr>
              <w:t>Enoviti magistrski program Pravo</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670307EF" w14:textId="77777777" w:rsidR="00AA5CB8" w:rsidRPr="007348A1" w:rsidRDefault="00AA5CB8" w:rsidP="00502368">
            <w:pPr>
              <w:jc w:val="center"/>
              <w:rPr>
                <w:rFonts w:ascii="Arial" w:hAnsi="Arial" w:cs="Arial"/>
                <w:b/>
                <w:bCs/>
                <w:sz w:val="22"/>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A543D87" w14:textId="3627D2A4" w:rsidR="00AA5CB8" w:rsidRPr="007348A1" w:rsidRDefault="00354BAB" w:rsidP="00502368">
            <w:pPr>
              <w:jc w:val="center"/>
              <w:rPr>
                <w:rFonts w:ascii="Arial" w:hAnsi="Arial" w:cs="Arial"/>
                <w:b/>
                <w:bCs/>
                <w:sz w:val="22"/>
                <w:szCs w:val="22"/>
              </w:rPr>
            </w:pPr>
            <w:r>
              <w:rPr>
                <w:rFonts w:ascii="Arial" w:hAnsi="Arial" w:cs="Arial"/>
                <w:b/>
                <w:bCs/>
                <w:sz w:val="22"/>
                <w:szCs w:val="22"/>
              </w:rPr>
              <w:t>2., 3.</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0CC95EDB" w14:textId="30C8BCBD" w:rsidR="00AA5CB8" w:rsidRPr="007348A1" w:rsidRDefault="00354BAB" w:rsidP="00502368">
            <w:pPr>
              <w:jc w:val="center"/>
              <w:rPr>
                <w:rFonts w:ascii="Arial" w:hAnsi="Arial" w:cs="Arial"/>
                <w:b/>
                <w:bCs/>
                <w:sz w:val="22"/>
                <w:szCs w:val="22"/>
              </w:rPr>
            </w:pPr>
            <w:r>
              <w:rPr>
                <w:rFonts w:ascii="Arial" w:hAnsi="Arial" w:cs="Arial"/>
                <w:b/>
                <w:bCs/>
                <w:sz w:val="22"/>
                <w:szCs w:val="22"/>
              </w:rPr>
              <w:t>3., 5.</w:t>
            </w:r>
          </w:p>
        </w:tc>
      </w:tr>
      <w:tr w:rsidR="00AA5CB8" w:rsidRPr="007348A1" w14:paraId="003C45A7" w14:textId="77777777" w:rsidTr="00AA5CB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112CDD16" w14:textId="4255C781" w:rsidR="00AA5CB8" w:rsidRPr="007348A1" w:rsidRDefault="00AA5CB8" w:rsidP="007348A1">
            <w:pPr>
              <w:jc w:val="center"/>
              <w:rPr>
                <w:rFonts w:ascii="Arial" w:hAnsi="Arial" w:cs="Arial"/>
                <w:bCs/>
                <w:sz w:val="22"/>
                <w:szCs w:val="22"/>
              </w:rPr>
            </w:pPr>
            <w:r w:rsidRPr="007348A1">
              <w:rPr>
                <w:rFonts w:ascii="Arial" w:hAnsi="Arial" w:cs="Arial"/>
                <w:bCs/>
                <w:sz w:val="22"/>
                <w:szCs w:val="22"/>
              </w:rPr>
              <w:t>Integrated master study programme Law</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012A4420" w14:textId="6D3D661E" w:rsidR="00AA5CB8" w:rsidRPr="007348A1" w:rsidRDefault="00AA5CB8" w:rsidP="00502368">
            <w:pPr>
              <w:jc w:val="center"/>
              <w:rPr>
                <w:rFonts w:ascii="Arial" w:hAnsi="Arial" w:cs="Arial"/>
                <w:b/>
                <w:bCs/>
                <w:sz w:val="22"/>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4D843CC4" w14:textId="34BFA716" w:rsidR="00AA5CB8" w:rsidRPr="007348A1" w:rsidRDefault="00354BAB" w:rsidP="00502368">
            <w:pPr>
              <w:jc w:val="center"/>
              <w:rPr>
                <w:rFonts w:ascii="Arial" w:hAnsi="Arial" w:cs="Arial"/>
                <w:bCs/>
                <w:sz w:val="22"/>
                <w:szCs w:val="22"/>
              </w:rPr>
            </w:pPr>
            <w:r>
              <w:rPr>
                <w:rFonts w:ascii="Arial" w:hAnsi="Arial" w:cs="Arial"/>
                <w:bCs/>
                <w:sz w:val="22"/>
                <w:szCs w:val="22"/>
              </w:rPr>
              <w:t>2nd, 3rd</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651C0D6F" w14:textId="3779D541" w:rsidR="00AA5CB8" w:rsidRPr="007348A1" w:rsidRDefault="00354BAB" w:rsidP="00502368">
            <w:pPr>
              <w:jc w:val="center"/>
              <w:rPr>
                <w:rFonts w:ascii="Arial" w:hAnsi="Arial" w:cs="Arial"/>
                <w:bCs/>
                <w:sz w:val="22"/>
                <w:szCs w:val="22"/>
              </w:rPr>
            </w:pPr>
            <w:r>
              <w:rPr>
                <w:rFonts w:ascii="Arial" w:hAnsi="Arial" w:cs="Arial"/>
                <w:bCs/>
                <w:sz w:val="22"/>
                <w:szCs w:val="22"/>
              </w:rPr>
              <w:t>3rd, 5th</w:t>
            </w:r>
          </w:p>
        </w:tc>
      </w:tr>
      <w:tr w:rsidR="00045C16" w:rsidRPr="007348A1" w14:paraId="39334CCC" w14:textId="77777777" w:rsidTr="00AA5CB8">
        <w:trPr>
          <w:trHeight w:val="103"/>
        </w:trPr>
        <w:tc>
          <w:tcPr>
            <w:tcW w:w="9690" w:type="dxa"/>
            <w:gridSpan w:val="18"/>
          </w:tcPr>
          <w:p w14:paraId="2348C17B" w14:textId="77777777" w:rsidR="00045C16" w:rsidRPr="007348A1" w:rsidRDefault="00045C16" w:rsidP="00502368">
            <w:pPr>
              <w:rPr>
                <w:rFonts w:ascii="Arial" w:hAnsi="Arial" w:cs="Arial"/>
                <w:b/>
                <w:bCs/>
                <w:sz w:val="22"/>
                <w:szCs w:val="22"/>
              </w:rPr>
            </w:pPr>
          </w:p>
        </w:tc>
      </w:tr>
      <w:tr w:rsidR="00045C16" w:rsidRPr="007348A1" w14:paraId="0560EF51" w14:textId="77777777" w:rsidTr="00AA5CB8">
        <w:tc>
          <w:tcPr>
            <w:tcW w:w="5718" w:type="dxa"/>
            <w:gridSpan w:val="12"/>
            <w:tcBorders>
              <w:top w:val="nil"/>
              <w:left w:val="nil"/>
              <w:bottom w:val="nil"/>
              <w:right w:val="single" w:sz="4" w:space="0" w:color="auto"/>
            </w:tcBorders>
          </w:tcPr>
          <w:p w14:paraId="0016106B" w14:textId="77777777" w:rsidR="00045C16" w:rsidRPr="007348A1" w:rsidRDefault="00045C16" w:rsidP="00502368">
            <w:pPr>
              <w:rPr>
                <w:rFonts w:ascii="Arial" w:hAnsi="Arial" w:cs="Arial"/>
                <w:b/>
                <w:sz w:val="22"/>
                <w:szCs w:val="22"/>
              </w:rPr>
            </w:pPr>
            <w:r w:rsidRPr="007348A1">
              <w:rPr>
                <w:rFonts w:ascii="Arial" w:hAnsi="Arial" w:cs="Arial"/>
                <w:b/>
                <w:sz w:val="22"/>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14:paraId="69809855" w14:textId="574510AE" w:rsidR="00045C16" w:rsidRPr="007348A1" w:rsidRDefault="009D5183" w:rsidP="00502368">
            <w:pPr>
              <w:rPr>
                <w:rFonts w:ascii="Arial" w:hAnsi="Arial" w:cs="Arial"/>
                <w:sz w:val="22"/>
                <w:szCs w:val="22"/>
              </w:rPr>
            </w:pPr>
            <w:r w:rsidRPr="007348A1">
              <w:rPr>
                <w:rFonts w:ascii="Arial" w:hAnsi="Arial" w:cs="Arial"/>
                <w:sz w:val="22"/>
                <w:szCs w:val="22"/>
              </w:rPr>
              <w:t>Izbirni predmet</w:t>
            </w:r>
            <w:r w:rsidR="0062125E" w:rsidRPr="007348A1">
              <w:rPr>
                <w:rFonts w:ascii="Arial" w:hAnsi="Arial" w:cs="Arial"/>
                <w:sz w:val="22"/>
                <w:szCs w:val="22"/>
              </w:rPr>
              <w:t xml:space="preserve"> / Elective cours</w:t>
            </w:r>
          </w:p>
        </w:tc>
      </w:tr>
      <w:tr w:rsidR="00045C16" w:rsidRPr="007348A1" w14:paraId="14F495A7" w14:textId="77777777" w:rsidTr="00AA5CB8">
        <w:tc>
          <w:tcPr>
            <w:tcW w:w="5718" w:type="dxa"/>
            <w:gridSpan w:val="12"/>
          </w:tcPr>
          <w:p w14:paraId="72C9AFE5" w14:textId="77777777" w:rsidR="00045C16" w:rsidRPr="007348A1" w:rsidRDefault="00045C16" w:rsidP="00502368">
            <w:pPr>
              <w:rPr>
                <w:rFonts w:ascii="Arial" w:hAnsi="Arial" w:cs="Arial"/>
                <w:b/>
                <w:sz w:val="22"/>
                <w:szCs w:val="22"/>
              </w:rPr>
            </w:pPr>
          </w:p>
        </w:tc>
        <w:tc>
          <w:tcPr>
            <w:tcW w:w="3972" w:type="dxa"/>
            <w:gridSpan w:val="6"/>
            <w:tcBorders>
              <w:top w:val="single" w:sz="4" w:space="0" w:color="auto"/>
              <w:left w:val="nil"/>
              <w:bottom w:val="single" w:sz="4" w:space="0" w:color="auto"/>
              <w:right w:val="nil"/>
            </w:tcBorders>
          </w:tcPr>
          <w:p w14:paraId="3E6DCA3F" w14:textId="77777777" w:rsidR="00045C16" w:rsidRPr="007348A1" w:rsidRDefault="00045C16" w:rsidP="00502368">
            <w:pPr>
              <w:rPr>
                <w:rFonts w:ascii="Arial" w:hAnsi="Arial" w:cs="Arial"/>
                <w:sz w:val="22"/>
                <w:szCs w:val="22"/>
              </w:rPr>
            </w:pPr>
          </w:p>
        </w:tc>
      </w:tr>
      <w:tr w:rsidR="00045C16" w:rsidRPr="007348A1" w14:paraId="03636CC9" w14:textId="77777777" w:rsidTr="00AA5CB8">
        <w:tc>
          <w:tcPr>
            <w:tcW w:w="5718" w:type="dxa"/>
            <w:gridSpan w:val="12"/>
            <w:tcBorders>
              <w:top w:val="nil"/>
              <w:left w:val="nil"/>
              <w:bottom w:val="nil"/>
              <w:right w:val="single" w:sz="4" w:space="0" w:color="auto"/>
            </w:tcBorders>
          </w:tcPr>
          <w:p w14:paraId="061DD514" w14:textId="77777777" w:rsidR="00045C16" w:rsidRPr="007348A1" w:rsidRDefault="00045C16" w:rsidP="00502368">
            <w:pPr>
              <w:rPr>
                <w:rFonts w:ascii="Arial" w:hAnsi="Arial" w:cs="Arial"/>
                <w:b/>
                <w:sz w:val="22"/>
                <w:szCs w:val="22"/>
              </w:rPr>
            </w:pPr>
            <w:r w:rsidRPr="007348A1">
              <w:rPr>
                <w:rFonts w:ascii="Arial" w:hAnsi="Arial" w:cs="Arial"/>
                <w:b/>
                <w:sz w:val="22"/>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14:paraId="41841697" w14:textId="77777777" w:rsidR="00045C16" w:rsidRPr="007348A1" w:rsidRDefault="00045C16" w:rsidP="00502368">
            <w:pPr>
              <w:rPr>
                <w:rFonts w:ascii="Arial" w:hAnsi="Arial" w:cs="Arial"/>
                <w:sz w:val="22"/>
                <w:szCs w:val="22"/>
              </w:rPr>
            </w:pPr>
          </w:p>
        </w:tc>
      </w:tr>
      <w:tr w:rsidR="00045C16" w:rsidRPr="007348A1" w14:paraId="781BF603" w14:textId="77777777" w:rsidTr="00AA5CB8">
        <w:tc>
          <w:tcPr>
            <w:tcW w:w="9690" w:type="dxa"/>
            <w:gridSpan w:val="18"/>
          </w:tcPr>
          <w:p w14:paraId="18510AE7" w14:textId="77777777" w:rsidR="00045C16" w:rsidRPr="007348A1" w:rsidRDefault="00045C16" w:rsidP="00502368">
            <w:pPr>
              <w:rPr>
                <w:rFonts w:ascii="Arial" w:hAnsi="Arial" w:cs="Arial"/>
                <w:sz w:val="22"/>
                <w:szCs w:val="22"/>
              </w:rPr>
            </w:pPr>
          </w:p>
        </w:tc>
      </w:tr>
      <w:tr w:rsidR="00045C16" w:rsidRPr="007348A1" w14:paraId="6983F2E4" w14:textId="77777777" w:rsidTr="00AA5CB8">
        <w:tc>
          <w:tcPr>
            <w:tcW w:w="1410" w:type="dxa"/>
            <w:tcBorders>
              <w:top w:val="nil"/>
              <w:left w:val="nil"/>
              <w:bottom w:val="single" w:sz="4" w:space="0" w:color="auto"/>
              <w:right w:val="nil"/>
            </w:tcBorders>
            <w:vAlign w:val="center"/>
          </w:tcPr>
          <w:p w14:paraId="63B9D6D6"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Predavanja</w:t>
            </w:r>
          </w:p>
          <w:p w14:paraId="6B73B26C" w14:textId="77777777" w:rsidR="00045C16" w:rsidRPr="007348A1" w:rsidRDefault="00045C16" w:rsidP="00502368">
            <w:pPr>
              <w:jc w:val="center"/>
              <w:rPr>
                <w:rFonts w:ascii="Arial" w:hAnsi="Arial" w:cs="Arial"/>
                <w:sz w:val="22"/>
                <w:szCs w:val="22"/>
              </w:rPr>
            </w:pPr>
            <w:r w:rsidRPr="007348A1">
              <w:rPr>
                <w:rFonts w:ascii="Arial" w:hAnsi="Arial" w:cs="Arial"/>
                <w:b/>
                <w:sz w:val="22"/>
                <w:szCs w:val="22"/>
              </w:rPr>
              <w:t>Lectures</w:t>
            </w:r>
          </w:p>
        </w:tc>
        <w:tc>
          <w:tcPr>
            <w:tcW w:w="1410" w:type="dxa"/>
            <w:gridSpan w:val="3"/>
            <w:tcBorders>
              <w:top w:val="nil"/>
              <w:left w:val="nil"/>
              <w:bottom w:val="single" w:sz="4" w:space="0" w:color="auto"/>
              <w:right w:val="nil"/>
            </w:tcBorders>
            <w:vAlign w:val="center"/>
          </w:tcPr>
          <w:p w14:paraId="5090BB8A"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Seminar</w:t>
            </w:r>
          </w:p>
          <w:p w14:paraId="5B7782F6"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Seminar</w:t>
            </w:r>
          </w:p>
        </w:tc>
        <w:tc>
          <w:tcPr>
            <w:tcW w:w="1418" w:type="dxa"/>
            <w:gridSpan w:val="3"/>
            <w:tcBorders>
              <w:top w:val="nil"/>
              <w:left w:val="nil"/>
              <w:bottom w:val="single" w:sz="4" w:space="0" w:color="auto"/>
              <w:right w:val="nil"/>
            </w:tcBorders>
            <w:vAlign w:val="center"/>
          </w:tcPr>
          <w:p w14:paraId="12E7EB71"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Vaje</w:t>
            </w:r>
          </w:p>
          <w:p w14:paraId="663FF9E2"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Tutorial</w:t>
            </w:r>
          </w:p>
        </w:tc>
        <w:tc>
          <w:tcPr>
            <w:tcW w:w="1418" w:type="dxa"/>
            <w:gridSpan w:val="4"/>
            <w:tcBorders>
              <w:top w:val="nil"/>
              <w:left w:val="nil"/>
              <w:bottom w:val="single" w:sz="4" w:space="0" w:color="auto"/>
              <w:right w:val="nil"/>
            </w:tcBorders>
            <w:vAlign w:val="center"/>
          </w:tcPr>
          <w:p w14:paraId="3F6236E8"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Klinične vaje</w:t>
            </w:r>
          </w:p>
          <w:p w14:paraId="35E13A06"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work</w:t>
            </w:r>
          </w:p>
        </w:tc>
        <w:tc>
          <w:tcPr>
            <w:tcW w:w="1417" w:type="dxa"/>
            <w:gridSpan w:val="3"/>
            <w:tcBorders>
              <w:top w:val="nil"/>
              <w:left w:val="nil"/>
              <w:bottom w:val="single" w:sz="4" w:space="0" w:color="auto"/>
              <w:right w:val="nil"/>
            </w:tcBorders>
            <w:vAlign w:val="center"/>
          </w:tcPr>
          <w:p w14:paraId="1C7BC68F"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Druge oblike študija</w:t>
            </w:r>
          </w:p>
        </w:tc>
        <w:tc>
          <w:tcPr>
            <w:tcW w:w="1417" w:type="dxa"/>
            <w:gridSpan w:val="2"/>
            <w:tcBorders>
              <w:top w:val="nil"/>
              <w:left w:val="nil"/>
              <w:bottom w:val="single" w:sz="4" w:space="0" w:color="auto"/>
              <w:right w:val="nil"/>
            </w:tcBorders>
            <w:vAlign w:val="center"/>
          </w:tcPr>
          <w:p w14:paraId="537D0F46"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Samost. delo</w:t>
            </w:r>
          </w:p>
          <w:p w14:paraId="7FBFDA86"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Individ. work</w:t>
            </w:r>
          </w:p>
        </w:tc>
        <w:tc>
          <w:tcPr>
            <w:tcW w:w="132" w:type="dxa"/>
            <w:vAlign w:val="center"/>
          </w:tcPr>
          <w:p w14:paraId="7E2F4EAC" w14:textId="77777777" w:rsidR="00045C16" w:rsidRPr="007348A1" w:rsidRDefault="00045C16" w:rsidP="00502368">
            <w:pPr>
              <w:jc w:val="center"/>
              <w:rPr>
                <w:rFonts w:ascii="Arial" w:hAnsi="Arial" w:cs="Arial"/>
                <w:b/>
                <w:bCs/>
                <w:sz w:val="22"/>
                <w:szCs w:val="22"/>
              </w:rPr>
            </w:pPr>
          </w:p>
        </w:tc>
        <w:tc>
          <w:tcPr>
            <w:tcW w:w="1068" w:type="dxa"/>
            <w:tcBorders>
              <w:top w:val="nil"/>
              <w:left w:val="nil"/>
              <w:bottom w:val="single" w:sz="4" w:space="0" w:color="auto"/>
              <w:right w:val="nil"/>
            </w:tcBorders>
            <w:vAlign w:val="center"/>
          </w:tcPr>
          <w:p w14:paraId="77EA1065" w14:textId="77777777" w:rsidR="00045C16" w:rsidRPr="007348A1" w:rsidRDefault="00045C16" w:rsidP="00502368">
            <w:pPr>
              <w:jc w:val="center"/>
              <w:rPr>
                <w:rFonts w:ascii="Arial" w:hAnsi="Arial" w:cs="Arial"/>
                <w:b/>
                <w:sz w:val="22"/>
                <w:szCs w:val="22"/>
              </w:rPr>
            </w:pPr>
            <w:r w:rsidRPr="007348A1">
              <w:rPr>
                <w:rFonts w:ascii="Arial" w:hAnsi="Arial" w:cs="Arial"/>
                <w:b/>
                <w:sz w:val="22"/>
                <w:szCs w:val="22"/>
              </w:rPr>
              <w:t>ECTS</w:t>
            </w:r>
          </w:p>
        </w:tc>
      </w:tr>
      <w:tr w:rsidR="00045C16" w:rsidRPr="007348A1" w14:paraId="3CB7CC4A" w14:textId="77777777" w:rsidTr="00AA5CB8">
        <w:trPr>
          <w:trHeight w:val="318"/>
        </w:trPr>
        <w:tc>
          <w:tcPr>
            <w:tcW w:w="1410" w:type="dxa"/>
            <w:tcBorders>
              <w:top w:val="single" w:sz="4" w:space="0" w:color="auto"/>
              <w:left w:val="single" w:sz="4" w:space="0" w:color="auto"/>
              <w:bottom w:val="single" w:sz="4" w:space="0" w:color="auto"/>
              <w:right w:val="single" w:sz="4" w:space="0" w:color="auto"/>
            </w:tcBorders>
            <w:vAlign w:val="center"/>
          </w:tcPr>
          <w:p w14:paraId="060A0CF1" w14:textId="7FB9F968" w:rsidR="00045C16" w:rsidRPr="007348A1" w:rsidRDefault="002A1CAE" w:rsidP="00502368">
            <w:pPr>
              <w:jc w:val="center"/>
              <w:rPr>
                <w:rFonts w:ascii="Arial" w:hAnsi="Arial" w:cs="Arial"/>
                <w:bCs/>
                <w:sz w:val="22"/>
                <w:szCs w:val="22"/>
              </w:rPr>
            </w:pPr>
            <w:r w:rsidRPr="007348A1">
              <w:rPr>
                <w:rFonts w:ascii="Arial" w:hAnsi="Arial" w:cs="Arial"/>
                <w:bCs/>
                <w:sz w:val="22"/>
                <w:szCs w:val="22"/>
              </w:rPr>
              <w:t>45</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4A9F338C" w14:textId="0EE4275F" w:rsidR="00045C16" w:rsidRPr="007348A1" w:rsidRDefault="0062125E" w:rsidP="00502368">
            <w:pPr>
              <w:jc w:val="center"/>
              <w:rPr>
                <w:rFonts w:ascii="Arial" w:hAnsi="Arial" w:cs="Arial"/>
                <w:bCs/>
                <w:sz w:val="22"/>
                <w:szCs w:val="22"/>
              </w:rPr>
            </w:pPr>
            <w:r w:rsidRPr="007348A1">
              <w:rPr>
                <w:rFonts w:ascii="Arial" w:hAnsi="Arial" w:cs="Arial"/>
                <w:bCs/>
                <w:sz w:val="22"/>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8894BF6" w14:textId="77777777" w:rsidR="00045C16" w:rsidRPr="007348A1" w:rsidRDefault="00045C16" w:rsidP="00502368">
            <w:pPr>
              <w:jc w:val="center"/>
              <w:rPr>
                <w:rFonts w:ascii="Arial" w:hAnsi="Arial" w:cs="Arial"/>
                <w:bCs/>
                <w:sz w:val="22"/>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6340EDC" w14:textId="77777777" w:rsidR="00045C16" w:rsidRPr="007348A1" w:rsidRDefault="00045C16" w:rsidP="00502368">
            <w:pPr>
              <w:jc w:val="center"/>
              <w:rPr>
                <w:rFonts w:ascii="Arial" w:hAnsi="Arial" w:cs="Arial"/>
                <w:bCs/>
                <w:sz w:val="22"/>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D661" w14:textId="1CA218C6" w:rsidR="00045C16" w:rsidRPr="007348A1" w:rsidRDefault="00045C16" w:rsidP="00502368">
            <w:pPr>
              <w:jc w:val="center"/>
              <w:rPr>
                <w:rFonts w:ascii="Arial" w:hAnsi="Arial" w:cs="Arial"/>
                <w:bCs/>
                <w:sz w:val="22"/>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46F1384" w14:textId="3148F754" w:rsidR="00045C16" w:rsidRPr="007348A1" w:rsidRDefault="0062125E" w:rsidP="00502368">
            <w:pPr>
              <w:jc w:val="center"/>
              <w:rPr>
                <w:rFonts w:ascii="Arial" w:hAnsi="Arial" w:cs="Arial"/>
                <w:bCs/>
                <w:sz w:val="22"/>
                <w:szCs w:val="22"/>
              </w:rPr>
            </w:pPr>
            <w:r w:rsidRPr="007348A1">
              <w:rPr>
                <w:rFonts w:ascii="Arial" w:hAnsi="Arial" w:cs="Arial"/>
                <w:bCs/>
                <w:sz w:val="22"/>
                <w:szCs w:val="22"/>
              </w:rPr>
              <w:t>60</w:t>
            </w:r>
          </w:p>
        </w:tc>
        <w:tc>
          <w:tcPr>
            <w:tcW w:w="132" w:type="dxa"/>
            <w:tcBorders>
              <w:top w:val="nil"/>
              <w:left w:val="single" w:sz="4" w:space="0" w:color="auto"/>
              <w:bottom w:val="nil"/>
              <w:right w:val="single" w:sz="4" w:space="0" w:color="auto"/>
            </w:tcBorders>
            <w:vAlign w:val="center"/>
          </w:tcPr>
          <w:p w14:paraId="544C8558" w14:textId="77777777" w:rsidR="00045C16" w:rsidRPr="007348A1" w:rsidRDefault="00045C16" w:rsidP="00502368">
            <w:pPr>
              <w:jc w:val="center"/>
              <w:rPr>
                <w:rFonts w:ascii="Arial" w:hAnsi="Arial" w:cs="Arial"/>
                <w:bCs/>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14:paraId="16A46B5F" w14:textId="77777777" w:rsidR="00045C16" w:rsidRPr="007348A1" w:rsidRDefault="00512F5B" w:rsidP="00502368">
            <w:pPr>
              <w:jc w:val="center"/>
              <w:rPr>
                <w:rFonts w:ascii="Arial" w:hAnsi="Arial" w:cs="Arial"/>
                <w:bCs/>
                <w:sz w:val="22"/>
                <w:szCs w:val="22"/>
              </w:rPr>
            </w:pPr>
            <w:r w:rsidRPr="007348A1">
              <w:rPr>
                <w:rFonts w:ascii="Arial" w:hAnsi="Arial" w:cs="Arial"/>
                <w:bCs/>
                <w:sz w:val="22"/>
                <w:szCs w:val="22"/>
              </w:rPr>
              <w:t>4</w:t>
            </w:r>
          </w:p>
        </w:tc>
      </w:tr>
      <w:tr w:rsidR="00045C16" w:rsidRPr="007348A1" w14:paraId="13D2F675" w14:textId="77777777" w:rsidTr="00AA5CB8">
        <w:tc>
          <w:tcPr>
            <w:tcW w:w="9690" w:type="dxa"/>
            <w:gridSpan w:val="18"/>
          </w:tcPr>
          <w:p w14:paraId="7225163C" w14:textId="77777777" w:rsidR="00045C16" w:rsidRPr="007348A1" w:rsidRDefault="00045C16" w:rsidP="00502368">
            <w:pPr>
              <w:rPr>
                <w:rFonts w:ascii="Arial" w:hAnsi="Arial" w:cs="Arial"/>
                <w:b/>
                <w:bCs/>
                <w:sz w:val="22"/>
                <w:szCs w:val="22"/>
              </w:rPr>
            </w:pPr>
          </w:p>
        </w:tc>
      </w:tr>
      <w:tr w:rsidR="00045C16" w:rsidRPr="007348A1" w14:paraId="3C63627D" w14:textId="77777777" w:rsidTr="00AA5CB8">
        <w:tc>
          <w:tcPr>
            <w:tcW w:w="3307" w:type="dxa"/>
            <w:gridSpan w:val="5"/>
          </w:tcPr>
          <w:p w14:paraId="1F45A752" w14:textId="77777777" w:rsidR="00045C16" w:rsidRPr="007348A1" w:rsidRDefault="00045C16" w:rsidP="00502368">
            <w:pPr>
              <w:rPr>
                <w:rFonts w:ascii="Arial" w:hAnsi="Arial" w:cs="Arial"/>
                <w:b/>
                <w:sz w:val="22"/>
                <w:szCs w:val="22"/>
              </w:rPr>
            </w:pPr>
            <w:r w:rsidRPr="007348A1">
              <w:rPr>
                <w:rFonts w:ascii="Arial" w:hAnsi="Arial" w:cs="Arial"/>
                <w:b/>
                <w:sz w:val="22"/>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14:paraId="4E30ACD6" w14:textId="0384E282" w:rsidR="00045C16" w:rsidRPr="007348A1" w:rsidRDefault="009E59C0" w:rsidP="00502368">
            <w:pPr>
              <w:rPr>
                <w:rFonts w:ascii="Arial" w:hAnsi="Arial" w:cs="Arial"/>
                <w:sz w:val="22"/>
                <w:szCs w:val="22"/>
              </w:rPr>
            </w:pPr>
            <w:bookmarkStart w:id="3" w:name="Predavatelj"/>
            <w:bookmarkEnd w:id="3"/>
            <w:r>
              <w:rPr>
                <w:rFonts w:ascii="Arial" w:hAnsi="Arial" w:cs="Arial"/>
                <w:sz w:val="22"/>
                <w:szCs w:val="22"/>
              </w:rPr>
              <w:t>Izr</w:t>
            </w:r>
            <w:r w:rsidR="00045C16" w:rsidRPr="007348A1">
              <w:rPr>
                <w:rFonts w:ascii="Arial" w:hAnsi="Arial" w:cs="Arial"/>
                <w:sz w:val="22"/>
                <w:szCs w:val="22"/>
              </w:rPr>
              <w:t>.</w:t>
            </w:r>
            <w:r>
              <w:rPr>
                <w:rFonts w:ascii="Arial" w:hAnsi="Arial" w:cs="Arial"/>
                <w:sz w:val="22"/>
                <w:szCs w:val="22"/>
              </w:rPr>
              <w:t xml:space="preserve"> prof.</w:t>
            </w:r>
            <w:r w:rsidR="00045C16" w:rsidRPr="007348A1">
              <w:rPr>
                <w:rFonts w:ascii="Arial" w:hAnsi="Arial" w:cs="Arial"/>
                <w:sz w:val="22"/>
                <w:szCs w:val="22"/>
              </w:rPr>
              <w:t xml:space="preserve"> dr. Samo Bardutzky</w:t>
            </w:r>
            <w:r w:rsidR="00142C84" w:rsidRPr="007348A1">
              <w:rPr>
                <w:rFonts w:ascii="Arial" w:hAnsi="Arial" w:cs="Arial"/>
                <w:sz w:val="22"/>
                <w:szCs w:val="22"/>
              </w:rPr>
              <w:t xml:space="preserve">, </w:t>
            </w:r>
            <w:r>
              <w:rPr>
                <w:rFonts w:ascii="Arial" w:hAnsi="Arial" w:cs="Arial"/>
                <w:sz w:val="22"/>
                <w:szCs w:val="22"/>
              </w:rPr>
              <w:t>p</w:t>
            </w:r>
            <w:r w:rsidR="00142C84" w:rsidRPr="007348A1">
              <w:rPr>
                <w:rFonts w:ascii="Arial" w:hAnsi="Arial" w:cs="Arial"/>
                <w:sz w:val="22"/>
                <w:szCs w:val="22"/>
              </w:rPr>
              <w:t>rof. dr. Saša Zagorc</w:t>
            </w:r>
          </w:p>
        </w:tc>
      </w:tr>
      <w:tr w:rsidR="00045C16" w:rsidRPr="007348A1" w14:paraId="09D0C14D" w14:textId="77777777" w:rsidTr="00AA5CB8">
        <w:tc>
          <w:tcPr>
            <w:tcW w:w="9690" w:type="dxa"/>
            <w:gridSpan w:val="18"/>
          </w:tcPr>
          <w:p w14:paraId="4BC61998" w14:textId="77777777" w:rsidR="00045C16" w:rsidRPr="007348A1" w:rsidRDefault="00045C16" w:rsidP="00502368">
            <w:pPr>
              <w:jc w:val="both"/>
              <w:rPr>
                <w:rFonts w:ascii="Arial" w:hAnsi="Arial" w:cs="Arial"/>
                <w:sz w:val="22"/>
                <w:szCs w:val="22"/>
              </w:rPr>
            </w:pPr>
          </w:p>
        </w:tc>
      </w:tr>
      <w:tr w:rsidR="00045C16" w:rsidRPr="007348A1" w14:paraId="3264B8DC" w14:textId="77777777" w:rsidTr="00AA5CB8">
        <w:tc>
          <w:tcPr>
            <w:tcW w:w="1641" w:type="dxa"/>
            <w:gridSpan w:val="2"/>
            <w:vMerge w:val="restart"/>
          </w:tcPr>
          <w:p w14:paraId="28945BB9" w14:textId="77777777" w:rsidR="00045C16" w:rsidRPr="007348A1" w:rsidRDefault="00045C16" w:rsidP="00502368">
            <w:pPr>
              <w:rPr>
                <w:rFonts w:ascii="Arial" w:hAnsi="Arial" w:cs="Arial"/>
                <w:b/>
                <w:sz w:val="22"/>
                <w:szCs w:val="22"/>
              </w:rPr>
            </w:pPr>
            <w:r w:rsidRPr="007348A1">
              <w:rPr>
                <w:rFonts w:ascii="Arial" w:hAnsi="Arial" w:cs="Arial"/>
                <w:b/>
                <w:sz w:val="22"/>
                <w:szCs w:val="22"/>
              </w:rPr>
              <w:t xml:space="preserve">Jeziki / </w:t>
            </w:r>
          </w:p>
          <w:p w14:paraId="5E8F9D40" w14:textId="77777777" w:rsidR="00045C16" w:rsidRPr="007348A1" w:rsidRDefault="00045C16" w:rsidP="00502368">
            <w:pPr>
              <w:rPr>
                <w:rFonts w:ascii="Arial" w:hAnsi="Arial" w:cs="Arial"/>
                <w:sz w:val="22"/>
                <w:szCs w:val="22"/>
              </w:rPr>
            </w:pPr>
            <w:r w:rsidRPr="007348A1">
              <w:rPr>
                <w:rFonts w:ascii="Arial" w:hAnsi="Arial" w:cs="Arial"/>
                <w:b/>
                <w:sz w:val="22"/>
                <w:szCs w:val="22"/>
              </w:rPr>
              <w:t>Languages:</w:t>
            </w:r>
          </w:p>
        </w:tc>
        <w:tc>
          <w:tcPr>
            <w:tcW w:w="2241" w:type="dxa"/>
            <w:gridSpan w:val="4"/>
          </w:tcPr>
          <w:p w14:paraId="4690804F" w14:textId="77777777" w:rsidR="00045C16" w:rsidRPr="007348A1" w:rsidRDefault="00045C16" w:rsidP="00502368">
            <w:pPr>
              <w:jc w:val="right"/>
              <w:rPr>
                <w:rFonts w:ascii="Arial" w:hAnsi="Arial" w:cs="Arial"/>
                <w:b/>
                <w:sz w:val="22"/>
                <w:szCs w:val="22"/>
              </w:rPr>
            </w:pPr>
            <w:r w:rsidRPr="007348A1">
              <w:rPr>
                <w:rFonts w:ascii="Arial" w:hAnsi="Arial" w:cs="Arial"/>
                <w:b/>
                <w:sz w:val="22"/>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14:paraId="30972B4B" w14:textId="493B9C33" w:rsidR="00045C16" w:rsidRPr="007348A1" w:rsidRDefault="0062125E" w:rsidP="00502368">
            <w:pPr>
              <w:jc w:val="both"/>
              <w:rPr>
                <w:rFonts w:ascii="Arial" w:hAnsi="Arial" w:cs="Arial"/>
                <w:bCs/>
                <w:sz w:val="22"/>
                <w:szCs w:val="22"/>
              </w:rPr>
            </w:pPr>
            <w:bookmarkStart w:id="4" w:name="Jezik"/>
            <w:bookmarkEnd w:id="4"/>
            <w:r w:rsidRPr="007348A1">
              <w:rPr>
                <w:rFonts w:ascii="Arial" w:hAnsi="Arial" w:cs="Arial"/>
                <w:bCs/>
                <w:sz w:val="22"/>
                <w:szCs w:val="22"/>
              </w:rPr>
              <w:t>S</w:t>
            </w:r>
            <w:r w:rsidR="00142C84" w:rsidRPr="007348A1">
              <w:rPr>
                <w:rFonts w:ascii="Arial" w:hAnsi="Arial" w:cs="Arial"/>
                <w:bCs/>
                <w:sz w:val="22"/>
                <w:szCs w:val="22"/>
              </w:rPr>
              <w:t>lovenski</w:t>
            </w:r>
            <w:r w:rsidRPr="007348A1">
              <w:rPr>
                <w:rFonts w:ascii="Arial" w:hAnsi="Arial" w:cs="Arial"/>
                <w:bCs/>
                <w:sz w:val="22"/>
                <w:szCs w:val="22"/>
              </w:rPr>
              <w:t xml:space="preserve"> / Slovenian</w:t>
            </w:r>
          </w:p>
        </w:tc>
      </w:tr>
      <w:tr w:rsidR="00045C16" w:rsidRPr="007348A1" w14:paraId="1CCEF164" w14:textId="77777777" w:rsidTr="00AA5CB8">
        <w:trPr>
          <w:trHeight w:val="215"/>
        </w:trPr>
        <w:tc>
          <w:tcPr>
            <w:tcW w:w="1641" w:type="dxa"/>
            <w:gridSpan w:val="2"/>
            <w:vMerge/>
            <w:vAlign w:val="center"/>
          </w:tcPr>
          <w:p w14:paraId="5D1496E1" w14:textId="77777777" w:rsidR="00045C16" w:rsidRPr="007348A1" w:rsidRDefault="00045C16" w:rsidP="00502368">
            <w:pPr>
              <w:rPr>
                <w:rFonts w:ascii="Arial" w:hAnsi="Arial" w:cs="Arial"/>
                <w:b/>
                <w:bCs/>
                <w:sz w:val="22"/>
                <w:szCs w:val="22"/>
              </w:rPr>
            </w:pPr>
          </w:p>
        </w:tc>
        <w:tc>
          <w:tcPr>
            <w:tcW w:w="2241" w:type="dxa"/>
            <w:gridSpan w:val="4"/>
          </w:tcPr>
          <w:p w14:paraId="79ED1019" w14:textId="77777777" w:rsidR="00045C16" w:rsidRPr="007348A1" w:rsidRDefault="00045C16" w:rsidP="00502368">
            <w:pPr>
              <w:jc w:val="right"/>
              <w:rPr>
                <w:rFonts w:ascii="Arial" w:hAnsi="Arial" w:cs="Arial"/>
                <w:b/>
                <w:sz w:val="22"/>
                <w:szCs w:val="22"/>
              </w:rPr>
            </w:pPr>
            <w:r w:rsidRPr="007348A1">
              <w:rPr>
                <w:rFonts w:ascii="Arial" w:hAnsi="Arial" w:cs="Arial"/>
                <w:b/>
                <w:sz w:val="22"/>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14:paraId="168F9189" w14:textId="77777777" w:rsidR="00045C16" w:rsidRPr="007348A1" w:rsidRDefault="00045C16" w:rsidP="00502368">
            <w:pPr>
              <w:jc w:val="both"/>
              <w:rPr>
                <w:rFonts w:ascii="Arial" w:hAnsi="Arial" w:cs="Arial"/>
                <w:b/>
                <w:bCs/>
                <w:sz w:val="22"/>
                <w:szCs w:val="22"/>
              </w:rPr>
            </w:pPr>
            <w:bookmarkStart w:id="5" w:name="JezikV"/>
            <w:bookmarkEnd w:id="5"/>
          </w:p>
        </w:tc>
      </w:tr>
      <w:tr w:rsidR="00045C16" w:rsidRPr="007348A1" w14:paraId="7AD37E14" w14:textId="77777777" w:rsidTr="00AA5CB8">
        <w:tc>
          <w:tcPr>
            <w:tcW w:w="4728" w:type="dxa"/>
            <w:gridSpan w:val="9"/>
            <w:tcBorders>
              <w:top w:val="nil"/>
              <w:left w:val="nil"/>
              <w:bottom w:val="single" w:sz="4" w:space="0" w:color="auto"/>
              <w:right w:val="nil"/>
            </w:tcBorders>
          </w:tcPr>
          <w:p w14:paraId="4A0F3AC8" w14:textId="77777777" w:rsidR="00045C16" w:rsidRPr="007348A1" w:rsidRDefault="00045C16" w:rsidP="00502368">
            <w:pPr>
              <w:rPr>
                <w:rFonts w:ascii="Arial" w:hAnsi="Arial" w:cs="Arial"/>
                <w:b/>
                <w:bCs/>
                <w:sz w:val="22"/>
                <w:szCs w:val="22"/>
              </w:rPr>
            </w:pPr>
          </w:p>
          <w:p w14:paraId="454EE000" w14:textId="77777777" w:rsidR="00045C16" w:rsidRPr="007348A1" w:rsidRDefault="00045C16" w:rsidP="00502368">
            <w:pPr>
              <w:rPr>
                <w:rFonts w:ascii="Arial" w:hAnsi="Arial" w:cs="Arial"/>
                <w:b/>
                <w:sz w:val="22"/>
                <w:szCs w:val="22"/>
              </w:rPr>
            </w:pPr>
            <w:r w:rsidRPr="007348A1">
              <w:rPr>
                <w:rFonts w:ascii="Arial" w:hAnsi="Arial" w:cs="Arial"/>
                <w:b/>
                <w:sz w:val="22"/>
                <w:szCs w:val="22"/>
              </w:rPr>
              <w:t>Pogoji za vključitev v delo oz. za opravljanje študijskih obveznosti:</w:t>
            </w:r>
          </w:p>
        </w:tc>
        <w:tc>
          <w:tcPr>
            <w:tcW w:w="142" w:type="dxa"/>
          </w:tcPr>
          <w:p w14:paraId="7DF43591" w14:textId="77777777" w:rsidR="00045C16" w:rsidRPr="007348A1" w:rsidRDefault="00045C16" w:rsidP="00502368">
            <w:pPr>
              <w:rPr>
                <w:rFonts w:ascii="Arial" w:hAnsi="Arial" w:cs="Arial"/>
                <w:b/>
                <w:sz w:val="22"/>
                <w:szCs w:val="22"/>
              </w:rPr>
            </w:pPr>
          </w:p>
          <w:p w14:paraId="1CB7E627" w14:textId="77777777" w:rsidR="00045C16" w:rsidRPr="007348A1" w:rsidRDefault="00045C16" w:rsidP="00502368">
            <w:pPr>
              <w:rPr>
                <w:rFonts w:ascii="Arial" w:hAnsi="Arial" w:cs="Arial"/>
                <w:b/>
                <w:sz w:val="22"/>
                <w:szCs w:val="22"/>
              </w:rPr>
            </w:pPr>
          </w:p>
        </w:tc>
        <w:tc>
          <w:tcPr>
            <w:tcW w:w="4820" w:type="dxa"/>
            <w:gridSpan w:val="8"/>
            <w:tcBorders>
              <w:top w:val="nil"/>
              <w:left w:val="nil"/>
              <w:bottom w:val="single" w:sz="4" w:space="0" w:color="auto"/>
              <w:right w:val="nil"/>
            </w:tcBorders>
          </w:tcPr>
          <w:p w14:paraId="56051DFD" w14:textId="77777777" w:rsidR="00045C16" w:rsidRPr="007348A1" w:rsidRDefault="00045C16" w:rsidP="00502368">
            <w:pPr>
              <w:rPr>
                <w:rFonts w:ascii="Arial" w:hAnsi="Arial" w:cs="Arial"/>
                <w:b/>
                <w:sz w:val="22"/>
                <w:szCs w:val="22"/>
              </w:rPr>
            </w:pPr>
          </w:p>
          <w:p w14:paraId="1D5C591D" w14:textId="77777777" w:rsidR="00045C16" w:rsidRPr="007348A1" w:rsidRDefault="00045C16" w:rsidP="00502368">
            <w:pPr>
              <w:rPr>
                <w:rFonts w:ascii="Arial" w:hAnsi="Arial" w:cs="Arial"/>
                <w:b/>
                <w:sz w:val="22"/>
                <w:szCs w:val="22"/>
              </w:rPr>
            </w:pPr>
            <w:r w:rsidRPr="007348A1">
              <w:rPr>
                <w:rFonts w:ascii="Arial" w:hAnsi="Arial" w:cs="Arial"/>
                <w:b/>
                <w:sz w:val="22"/>
                <w:szCs w:val="22"/>
              </w:rPr>
              <w:t>Prerequisits:</w:t>
            </w:r>
          </w:p>
        </w:tc>
      </w:tr>
      <w:tr w:rsidR="00045C16" w:rsidRPr="007348A1" w14:paraId="4521F619" w14:textId="77777777" w:rsidTr="00AA5CB8">
        <w:trPr>
          <w:trHeight w:val="2665"/>
        </w:trPr>
        <w:tc>
          <w:tcPr>
            <w:tcW w:w="4728" w:type="dxa"/>
            <w:gridSpan w:val="9"/>
            <w:tcBorders>
              <w:top w:val="single" w:sz="4" w:space="0" w:color="auto"/>
              <w:left w:val="single" w:sz="4" w:space="0" w:color="auto"/>
              <w:bottom w:val="single" w:sz="4" w:space="0" w:color="auto"/>
              <w:right w:val="single" w:sz="4" w:space="0" w:color="auto"/>
            </w:tcBorders>
          </w:tcPr>
          <w:p w14:paraId="1E98CF96" w14:textId="77777777" w:rsidR="00045C16" w:rsidRPr="007348A1" w:rsidRDefault="00142C84" w:rsidP="00502368">
            <w:pPr>
              <w:rPr>
                <w:rFonts w:ascii="Arial" w:hAnsi="Arial" w:cs="Arial"/>
                <w:sz w:val="22"/>
                <w:szCs w:val="22"/>
              </w:rPr>
            </w:pPr>
            <w:r w:rsidRPr="007348A1">
              <w:rPr>
                <w:rFonts w:ascii="Arial" w:hAnsi="Arial" w:cs="Arial"/>
                <w:sz w:val="22"/>
                <w:szCs w:val="22"/>
              </w:rPr>
              <w:t>Ni posebnih pogojev.</w:t>
            </w:r>
          </w:p>
        </w:tc>
        <w:tc>
          <w:tcPr>
            <w:tcW w:w="142" w:type="dxa"/>
            <w:tcBorders>
              <w:top w:val="nil"/>
              <w:left w:val="single" w:sz="4" w:space="0" w:color="auto"/>
              <w:bottom w:val="nil"/>
              <w:right w:val="single" w:sz="4" w:space="0" w:color="auto"/>
            </w:tcBorders>
          </w:tcPr>
          <w:p w14:paraId="67606CF4" w14:textId="77777777" w:rsidR="00045C16" w:rsidRPr="007348A1" w:rsidRDefault="00045C16" w:rsidP="00502368">
            <w:pPr>
              <w:rPr>
                <w:rFonts w:ascii="Arial" w:hAnsi="Arial" w:cs="Arial"/>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14:paraId="7940C712" w14:textId="57BDDBC4" w:rsidR="00045C16" w:rsidRPr="007348A1" w:rsidRDefault="005A54D0" w:rsidP="00502368">
            <w:pPr>
              <w:rPr>
                <w:rFonts w:ascii="Arial" w:hAnsi="Arial" w:cs="Arial"/>
                <w:sz w:val="22"/>
                <w:szCs w:val="22"/>
              </w:rPr>
            </w:pPr>
            <w:r w:rsidRPr="007348A1">
              <w:rPr>
                <w:rFonts w:ascii="Arial" w:hAnsi="Arial" w:cs="Arial"/>
                <w:sz w:val="22"/>
                <w:szCs w:val="22"/>
              </w:rPr>
              <w:t>There are no</w:t>
            </w:r>
            <w:r w:rsidR="00142C84" w:rsidRPr="007348A1">
              <w:rPr>
                <w:rFonts w:ascii="Arial" w:hAnsi="Arial" w:cs="Arial"/>
                <w:sz w:val="22"/>
                <w:szCs w:val="22"/>
              </w:rPr>
              <w:t xml:space="preserve"> requirements.</w:t>
            </w:r>
          </w:p>
        </w:tc>
      </w:tr>
      <w:tr w:rsidR="00045C16" w:rsidRPr="007348A1" w14:paraId="0426E2F5" w14:textId="77777777" w:rsidTr="00AA5CB8">
        <w:trPr>
          <w:trHeight w:val="137"/>
        </w:trPr>
        <w:tc>
          <w:tcPr>
            <w:tcW w:w="4718" w:type="dxa"/>
            <w:gridSpan w:val="8"/>
            <w:tcBorders>
              <w:top w:val="nil"/>
              <w:left w:val="nil"/>
              <w:bottom w:val="single" w:sz="4" w:space="0" w:color="auto"/>
              <w:right w:val="nil"/>
            </w:tcBorders>
          </w:tcPr>
          <w:p w14:paraId="42EB00F6" w14:textId="77777777" w:rsidR="00045C16" w:rsidRPr="007348A1" w:rsidRDefault="00045C16" w:rsidP="00502368">
            <w:pPr>
              <w:rPr>
                <w:rFonts w:ascii="Arial" w:hAnsi="Arial" w:cs="Arial"/>
                <w:b/>
                <w:sz w:val="22"/>
                <w:szCs w:val="22"/>
              </w:rPr>
            </w:pPr>
          </w:p>
          <w:p w14:paraId="4C90BC13" w14:textId="77777777" w:rsidR="00045C16" w:rsidRPr="007348A1" w:rsidRDefault="00045C16" w:rsidP="00502368">
            <w:pPr>
              <w:rPr>
                <w:rFonts w:ascii="Arial" w:hAnsi="Arial" w:cs="Arial"/>
                <w:b/>
                <w:sz w:val="22"/>
                <w:szCs w:val="22"/>
              </w:rPr>
            </w:pPr>
            <w:r w:rsidRPr="007348A1">
              <w:rPr>
                <w:rFonts w:ascii="Arial" w:hAnsi="Arial" w:cs="Arial"/>
                <w:b/>
                <w:sz w:val="22"/>
                <w:szCs w:val="22"/>
              </w:rPr>
              <w:t>Vsebina:</w:t>
            </w:r>
            <w:r w:rsidRPr="007348A1">
              <w:rPr>
                <w:rFonts w:ascii="Arial" w:hAnsi="Arial" w:cs="Arial"/>
                <w:sz w:val="22"/>
                <w:szCs w:val="22"/>
              </w:rPr>
              <w:t xml:space="preserve"> </w:t>
            </w:r>
          </w:p>
        </w:tc>
        <w:tc>
          <w:tcPr>
            <w:tcW w:w="152" w:type="dxa"/>
            <w:gridSpan w:val="2"/>
          </w:tcPr>
          <w:p w14:paraId="678C1584" w14:textId="77777777" w:rsidR="00045C16" w:rsidRPr="007348A1" w:rsidRDefault="00045C16" w:rsidP="00502368">
            <w:pPr>
              <w:rPr>
                <w:rFonts w:ascii="Arial" w:hAnsi="Arial" w:cs="Arial"/>
                <w:b/>
                <w:sz w:val="22"/>
                <w:szCs w:val="22"/>
              </w:rPr>
            </w:pPr>
          </w:p>
        </w:tc>
        <w:tc>
          <w:tcPr>
            <w:tcW w:w="4820" w:type="dxa"/>
            <w:gridSpan w:val="8"/>
            <w:tcBorders>
              <w:top w:val="nil"/>
              <w:left w:val="nil"/>
              <w:bottom w:val="single" w:sz="4" w:space="0" w:color="auto"/>
              <w:right w:val="nil"/>
            </w:tcBorders>
          </w:tcPr>
          <w:p w14:paraId="04226962" w14:textId="77777777" w:rsidR="00045C16" w:rsidRPr="007348A1" w:rsidRDefault="00045C16" w:rsidP="00502368">
            <w:pPr>
              <w:rPr>
                <w:rFonts w:ascii="Arial" w:hAnsi="Arial" w:cs="Arial"/>
                <w:b/>
                <w:sz w:val="22"/>
                <w:szCs w:val="22"/>
              </w:rPr>
            </w:pPr>
          </w:p>
          <w:p w14:paraId="373194D1" w14:textId="77777777" w:rsidR="00045C16" w:rsidRPr="007348A1" w:rsidRDefault="00045C16" w:rsidP="00502368">
            <w:pPr>
              <w:rPr>
                <w:rFonts w:ascii="Arial" w:hAnsi="Arial" w:cs="Arial"/>
                <w:b/>
                <w:sz w:val="22"/>
                <w:szCs w:val="22"/>
              </w:rPr>
            </w:pPr>
            <w:r w:rsidRPr="007348A1">
              <w:rPr>
                <w:rFonts w:ascii="Arial" w:hAnsi="Arial" w:cs="Arial"/>
                <w:b/>
                <w:sz w:val="22"/>
                <w:szCs w:val="22"/>
              </w:rPr>
              <w:t>Content (Syllabus outline):</w:t>
            </w:r>
          </w:p>
        </w:tc>
      </w:tr>
      <w:tr w:rsidR="00045C16" w:rsidRPr="007348A1" w14:paraId="18B0F882" w14:textId="77777777" w:rsidTr="00AA5CB8">
        <w:trPr>
          <w:trHeight w:val="2665"/>
        </w:trPr>
        <w:tc>
          <w:tcPr>
            <w:tcW w:w="4718" w:type="dxa"/>
            <w:gridSpan w:val="8"/>
            <w:tcBorders>
              <w:top w:val="single" w:sz="4" w:space="0" w:color="auto"/>
              <w:left w:val="single" w:sz="4" w:space="0" w:color="auto"/>
              <w:bottom w:val="single" w:sz="4" w:space="0" w:color="auto"/>
              <w:right w:val="single" w:sz="4" w:space="0" w:color="auto"/>
            </w:tcBorders>
          </w:tcPr>
          <w:p w14:paraId="62DD79FD" w14:textId="77777777" w:rsidR="00FC74B8" w:rsidRPr="007348A1" w:rsidRDefault="00FC74B8" w:rsidP="00FC74B8">
            <w:pPr>
              <w:pStyle w:val="Odstavekseznama"/>
              <w:numPr>
                <w:ilvl w:val="0"/>
                <w:numId w:val="1"/>
              </w:numPr>
              <w:rPr>
                <w:rFonts w:ascii="Arial" w:hAnsi="Arial" w:cs="Arial"/>
              </w:rPr>
            </w:pPr>
            <w:r w:rsidRPr="007348A1">
              <w:rPr>
                <w:rFonts w:ascii="Arial" w:hAnsi="Arial" w:cs="Arial"/>
              </w:rPr>
              <w:t xml:space="preserve">Uvod </w:t>
            </w:r>
          </w:p>
          <w:p w14:paraId="659DC676" w14:textId="77777777" w:rsidR="00FC74B8" w:rsidRPr="007348A1" w:rsidRDefault="00FC74B8" w:rsidP="00FC74B8">
            <w:pPr>
              <w:pStyle w:val="Odstavekseznama"/>
              <w:numPr>
                <w:ilvl w:val="0"/>
                <w:numId w:val="4"/>
              </w:numPr>
              <w:rPr>
                <w:rFonts w:ascii="Arial" w:hAnsi="Arial" w:cs="Arial"/>
              </w:rPr>
            </w:pPr>
            <w:r w:rsidRPr="007348A1">
              <w:rPr>
                <w:rFonts w:ascii="Arial" w:hAnsi="Arial" w:cs="Arial"/>
              </w:rPr>
              <w:t>Pravo migracij in azila kot preplet nacionalnega, mednarodnega in evropskega prava</w:t>
            </w:r>
          </w:p>
          <w:p w14:paraId="70D377C1" w14:textId="77777777" w:rsidR="00FC74B8" w:rsidRPr="007348A1" w:rsidRDefault="00FC74B8" w:rsidP="00FC74B8">
            <w:pPr>
              <w:pStyle w:val="Odstavekseznama"/>
              <w:numPr>
                <w:ilvl w:val="0"/>
                <w:numId w:val="4"/>
              </w:numPr>
              <w:rPr>
                <w:rFonts w:ascii="Arial" w:hAnsi="Arial" w:cs="Arial"/>
              </w:rPr>
            </w:pPr>
            <w:r w:rsidRPr="007348A1">
              <w:rPr>
                <w:rFonts w:ascii="Arial" w:hAnsi="Arial" w:cs="Arial"/>
              </w:rPr>
              <w:t>Pravo in politika migracij in azila</w:t>
            </w:r>
          </w:p>
          <w:p w14:paraId="7BA60D9D" w14:textId="77777777" w:rsidR="00FC74B8" w:rsidRPr="007348A1" w:rsidRDefault="00FC74B8" w:rsidP="00FC74B8">
            <w:pPr>
              <w:pStyle w:val="Odstavekseznama"/>
              <w:rPr>
                <w:rFonts w:ascii="Arial" w:hAnsi="Arial" w:cs="Arial"/>
              </w:rPr>
            </w:pPr>
          </w:p>
          <w:p w14:paraId="2C652C75" w14:textId="77777777" w:rsidR="00FC74B8" w:rsidRPr="007348A1" w:rsidRDefault="00FC74B8" w:rsidP="00FC74B8">
            <w:pPr>
              <w:pStyle w:val="Odstavekseznama"/>
              <w:numPr>
                <w:ilvl w:val="0"/>
                <w:numId w:val="1"/>
              </w:numPr>
              <w:rPr>
                <w:rFonts w:ascii="Arial" w:hAnsi="Arial" w:cs="Arial"/>
              </w:rPr>
            </w:pPr>
            <w:r w:rsidRPr="007348A1">
              <w:rPr>
                <w:rFonts w:ascii="Arial" w:hAnsi="Arial" w:cs="Arial"/>
              </w:rPr>
              <w:t>Pravni vidiki migracij v Evropsko unijo in znotraj Evropske unije</w:t>
            </w:r>
          </w:p>
          <w:p w14:paraId="4067580D" w14:textId="77777777" w:rsidR="00FC74B8" w:rsidRPr="007348A1" w:rsidRDefault="00FC74B8" w:rsidP="00FC74B8">
            <w:pPr>
              <w:pStyle w:val="Odstavekseznama"/>
              <w:numPr>
                <w:ilvl w:val="0"/>
                <w:numId w:val="3"/>
              </w:numPr>
              <w:rPr>
                <w:rFonts w:ascii="Arial" w:hAnsi="Arial" w:cs="Arial"/>
              </w:rPr>
            </w:pPr>
            <w:r w:rsidRPr="007348A1">
              <w:rPr>
                <w:rFonts w:ascii="Arial" w:hAnsi="Arial" w:cs="Arial"/>
              </w:rPr>
              <w:lastRenderedPageBreak/>
              <w:t>Prost pretok oseb kot neločljiv del procesa gospodarske integracije</w:t>
            </w:r>
          </w:p>
          <w:p w14:paraId="57A9B281" w14:textId="77777777" w:rsidR="00FC74B8" w:rsidRPr="007348A1" w:rsidRDefault="00FC74B8" w:rsidP="00FC74B8">
            <w:pPr>
              <w:pStyle w:val="Odstavekseznama"/>
              <w:numPr>
                <w:ilvl w:val="0"/>
                <w:numId w:val="3"/>
              </w:numPr>
              <w:rPr>
                <w:rFonts w:ascii="Arial" w:hAnsi="Arial" w:cs="Arial"/>
              </w:rPr>
            </w:pPr>
            <w:r w:rsidRPr="007348A1">
              <w:rPr>
                <w:rFonts w:ascii="Arial" w:hAnsi="Arial" w:cs="Arial"/>
              </w:rPr>
              <w:t>Državljanstvo Evropske unije kot temeljni pravni status in Direktiva o pravicah dr</w:t>
            </w:r>
            <w:r w:rsidR="00AE4BFD" w:rsidRPr="007348A1">
              <w:rPr>
                <w:rFonts w:ascii="Arial" w:hAnsi="Arial" w:cs="Arial"/>
              </w:rPr>
              <w:t>žavljanov</w:t>
            </w:r>
          </w:p>
          <w:p w14:paraId="2431D927" w14:textId="77777777" w:rsidR="00FC74B8" w:rsidRPr="007348A1" w:rsidRDefault="00AE4BFD" w:rsidP="00FC74B8">
            <w:pPr>
              <w:pStyle w:val="Odstavekseznama"/>
              <w:numPr>
                <w:ilvl w:val="0"/>
                <w:numId w:val="3"/>
              </w:numPr>
              <w:rPr>
                <w:rFonts w:ascii="Arial" w:hAnsi="Arial" w:cs="Arial"/>
              </w:rPr>
            </w:pPr>
            <w:r w:rsidRPr="007348A1">
              <w:rPr>
                <w:rFonts w:ascii="Arial" w:hAnsi="Arial" w:cs="Arial"/>
              </w:rPr>
              <w:t>Pravica državljanov tretjih držav do prebivanja in zaposlitve v EU</w:t>
            </w:r>
          </w:p>
          <w:p w14:paraId="2764824A" w14:textId="77777777" w:rsidR="00FC74B8" w:rsidRPr="007348A1" w:rsidRDefault="00AE4BFD" w:rsidP="00FC74B8">
            <w:pPr>
              <w:pStyle w:val="Odstavekseznama"/>
              <w:numPr>
                <w:ilvl w:val="0"/>
                <w:numId w:val="3"/>
              </w:numPr>
              <w:rPr>
                <w:rFonts w:ascii="Arial" w:hAnsi="Arial" w:cs="Arial"/>
              </w:rPr>
            </w:pPr>
            <w:r w:rsidRPr="007348A1">
              <w:rPr>
                <w:rFonts w:ascii="Arial" w:hAnsi="Arial" w:cs="Arial"/>
              </w:rPr>
              <w:t>Združitev družine</w:t>
            </w:r>
          </w:p>
          <w:p w14:paraId="55E7118B" w14:textId="77777777" w:rsidR="00FC74B8" w:rsidRPr="007348A1" w:rsidRDefault="00AE4BFD" w:rsidP="00FC74B8">
            <w:pPr>
              <w:pStyle w:val="Odstavekseznama"/>
              <w:numPr>
                <w:ilvl w:val="0"/>
                <w:numId w:val="3"/>
              </w:numPr>
              <w:rPr>
                <w:rFonts w:ascii="Arial" w:hAnsi="Arial" w:cs="Arial"/>
              </w:rPr>
            </w:pPr>
            <w:r w:rsidRPr="007348A1">
              <w:rPr>
                <w:rFonts w:ascii="Arial" w:hAnsi="Arial" w:cs="Arial"/>
              </w:rPr>
              <w:t>Migracije študentov, raziskovalcev in usposobljenih delavcev v EU</w:t>
            </w:r>
          </w:p>
          <w:p w14:paraId="1C98F856" w14:textId="77777777" w:rsidR="00FC74B8" w:rsidRPr="007348A1" w:rsidRDefault="00AE4BFD" w:rsidP="00FC74B8">
            <w:pPr>
              <w:pStyle w:val="Odstavekseznama"/>
              <w:numPr>
                <w:ilvl w:val="0"/>
                <w:numId w:val="3"/>
              </w:numPr>
              <w:rPr>
                <w:rFonts w:ascii="Arial" w:hAnsi="Arial" w:cs="Arial"/>
              </w:rPr>
            </w:pPr>
            <w:r w:rsidRPr="007348A1">
              <w:rPr>
                <w:rFonts w:ascii="Arial" w:hAnsi="Arial" w:cs="Arial"/>
              </w:rPr>
              <w:t>Pravice dolgotrajnih rezidentov</w:t>
            </w:r>
          </w:p>
          <w:p w14:paraId="337BB1DE" w14:textId="77777777" w:rsidR="00FC74B8" w:rsidRPr="007348A1" w:rsidRDefault="00AE4BFD" w:rsidP="00FC74B8">
            <w:pPr>
              <w:pStyle w:val="Odstavekseznama"/>
              <w:numPr>
                <w:ilvl w:val="0"/>
                <w:numId w:val="3"/>
              </w:numPr>
              <w:rPr>
                <w:rFonts w:ascii="Arial" w:hAnsi="Arial" w:cs="Arial"/>
              </w:rPr>
            </w:pPr>
            <w:r w:rsidRPr="007348A1">
              <w:rPr>
                <w:rFonts w:ascii="Arial" w:hAnsi="Arial" w:cs="Arial"/>
              </w:rPr>
              <w:t>Nezakonite migracije, Direktiva o vrnitvi in odvzem prostosti v okviru migracij</w:t>
            </w:r>
          </w:p>
          <w:p w14:paraId="2B635516" w14:textId="77777777" w:rsidR="00FC74B8" w:rsidRPr="007348A1" w:rsidRDefault="00AE4BFD" w:rsidP="00FC74B8">
            <w:pPr>
              <w:pStyle w:val="Odstavekseznama"/>
              <w:numPr>
                <w:ilvl w:val="0"/>
                <w:numId w:val="3"/>
              </w:numPr>
              <w:rPr>
                <w:rFonts w:ascii="Arial" w:hAnsi="Arial" w:cs="Arial"/>
              </w:rPr>
            </w:pPr>
            <w:r w:rsidRPr="007348A1">
              <w:rPr>
                <w:rFonts w:ascii="Arial" w:hAnsi="Arial" w:cs="Arial"/>
              </w:rPr>
              <w:t>Notranje in zunanje meje EU, Schengen, Evropska mejna in obalna straža in vizni sistem</w:t>
            </w:r>
          </w:p>
          <w:p w14:paraId="1CC3F2C1" w14:textId="77777777" w:rsidR="00AE4BFD" w:rsidRPr="007348A1" w:rsidRDefault="00AE4BFD" w:rsidP="00AE4BFD">
            <w:pPr>
              <w:pStyle w:val="Odstavekseznama"/>
              <w:rPr>
                <w:rFonts w:ascii="Arial" w:hAnsi="Arial" w:cs="Arial"/>
              </w:rPr>
            </w:pPr>
          </w:p>
          <w:p w14:paraId="24448DB6" w14:textId="77777777" w:rsidR="00FC74B8" w:rsidRPr="007348A1" w:rsidRDefault="00FC74B8" w:rsidP="00FC74B8">
            <w:pPr>
              <w:pStyle w:val="Odstavekseznama"/>
              <w:rPr>
                <w:rFonts w:ascii="Arial" w:hAnsi="Arial" w:cs="Arial"/>
              </w:rPr>
            </w:pPr>
          </w:p>
          <w:p w14:paraId="74FD5069" w14:textId="77777777" w:rsidR="00FC74B8" w:rsidRPr="007348A1" w:rsidRDefault="00EA1C61" w:rsidP="00FC74B8">
            <w:pPr>
              <w:pStyle w:val="Odstavekseznama"/>
              <w:numPr>
                <w:ilvl w:val="0"/>
                <w:numId w:val="1"/>
              </w:numPr>
              <w:rPr>
                <w:rFonts w:ascii="Arial" w:hAnsi="Arial" w:cs="Arial"/>
              </w:rPr>
            </w:pPr>
            <w:r w:rsidRPr="007348A1">
              <w:rPr>
                <w:rFonts w:ascii="Arial" w:hAnsi="Arial" w:cs="Arial"/>
              </w:rPr>
              <w:t>Mednarodno in evropsko pravo azila</w:t>
            </w:r>
          </w:p>
          <w:p w14:paraId="3502CF6B" w14:textId="77777777" w:rsidR="00FC74B8" w:rsidRPr="007348A1" w:rsidRDefault="00EA1C61" w:rsidP="00FC74B8">
            <w:pPr>
              <w:pStyle w:val="Odstavekseznama"/>
              <w:numPr>
                <w:ilvl w:val="0"/>
                <w:numId w:val="2"/>
              </w:numPr>
              <w:rPr>
                <w:rFonts w:ascii="Arial" w:hAnsi="Arial" w:cs="Arial"/>
              </w:rPr>
            </w:pPr>
            <w:r w:rsidRPr="007348A1">
              <w:rPr>
                <w:rFonts w:ascii="Arial" w:hAnsi="Arial" w:cs="Arial"/>
              </w:rPr>
              <w:t>Pravice prosilcev za azil po recepcijski direktivi</w:t>
            </w:r>
          </w:p>
          <w:p w14:paraId="47DC1EB4" w14:textId="77777777" w:rsidR="00FC74B8" w:rsidRPr="007348A1" w:rsidRDefault="00EA1C61" w:rsidP="00FC74B8">
            <w:pPr>
              <w:pStyle w:val="Odstavekseznama"/>
              <w:numPr>
                <w:ilvl w:val="0"/>
                <w:numId w:val="2"/>
              </w:numPr>
              <w:rPr>
                <w:rFonts w:ascii="Arial" w:hAnsi="Arial" w:cs="Arial"/>
              </w:rPr>
            </w:pPr>
            <w:r w:rsidRPr="007348A1">
              <w:rPr>
                <w:rFonts w:ascii="Arial" w:hAnsi="Arial" w:cs="Arial"/>
              </w:rPr>
              <w:t>Status in definicija begunca po Ženevski konvenciji iz leta 1951 in po kvalifikacijski direktivi</w:t>
            </w:r>
            <w:r w:rsidR="00FC74B8" w:rsidRPr="007348A1">
              <w:rPr>
                <w:rFonts w:ascii="Arial" w:hAnsi="Arial" w:cs="Arial"/>
              </w:rPr>
              <w:t xml:space="preserve"> </w:t>
            </w:r>
          </w:p>
          <w:p w14:paraId="6292A945" w14:textId="77777777" w:rsidR="00FC74B8" w:rsidRPr="007348A1" w:rsidRDefault="00FC74B8" w:rsidP="00FC74B8">
            <w:pPr>
              <w:pStyle w:val="Odstavekseznama"/>
              <w:numPr>
                <w:ilvl w:val="0"/>
                <w:numId w:val="2"/>
              </w:numPr>
              <w:rPr>
                <w:rFonts w:ascii="Arial" w:hAnsi="Arial" w:cs="Arial"/>
              </w:rPr>
            </w:pPr>
            <w:r w:rsidRPr="007348A1">
              <w:rPr>
                <w:rFonts w:ascii="Arial" w:hAnsi="Arial" w:cs="Arial"/>
              </w:rPr>
              <w:t>Sub</w:t>
            </w:r>
            <w:r w:rsidR="00EA1C61" w:rsidRPr="007348A1">
              <w:rPr>
                <w:rFonts w:ascii="Arial" w:hAnsi="Arial" w:cs="Arial"/>
              </w:rPr>
              <w:t>sidiarna zaščita</w:t>
            </w:r>
          </w:p>
          <w:p w14:paraId="2F7499A7" w14:textId="77777777" w:rsidR="00FC74B8" w:rsidRPr="007348A1" w:rsidRDefault="00FC74B8" w:rsidP="00FC74B8">
            <w:pPr>
              <w:pStyle w:val="Odstavekseznama"/>
              <w:numPr>
                <w:ilvl w:val="0"/>
                <w:numId w:val="2"/>
              </w:numPr>
              <w:rPr>
                <w:rFonts w:ascii="Arial" w:hAnsi="Arial" w:cs="Arial"/>
              </w:rPr>
            </w:pPr>
            <w:r w:rsidRPr="007348A1">
              <w:rPr>
                <w:rFonts w:ascii="Arial" w:hAnsi="Arial" w:cs="Arial"/>
              </w:rPr>
              <w:t>Pr</w:t>
            </w:r>
            <w:r w:rsidR="00EA1C61" w:rsidRPr="007348A1">
              <w:rPr>
                <w:rFonts w:ascii="Arial" w:hAnsi="Arial" w:cs="Arial"/>
              </w:rPr>
              <w:t>ocesni standardi in vprašanja dokazovanja</w:t>
            </w:r>
          </w:p>
          <w:p w14:paraId="2737707D" w14:textId="77777777" w:rsidR="00FC74B8" w:rsidRPr="007348A1" w:rsidRDefault="00190D2D" w:rsidP="00FC74B8">
            <w:pPr>
              <w:pStyle w:val="Odstavekseznama"/>
              <w:numPr>
                <w:ilvl w:val="0"/>
                <w:numId w:val="2"/>
              </w:numPr>
              <w:rPr>
                <w:rFonts w:ascii="Arial" w:hAnsi="Arial" w:cs="Arial"/>
              </w:rPr>
            </w:pPr>
            <w:r w:rsidRPr="007348A1">
              <w:rPr>
                <w:rFonts w:ascii="Arial" w:hAnsi="Arial" w:cs="Arial"/>
              </w:rPr>
              <w:t>Dublinski sistem in sistem EURODAC</w:t>
            </w:r>
          </w:p>
          <w:p w14:paraId="14E33691" w14:textId="77777777" w:rsidR="00FC74B8" w:rsidRPr="007348A1" w:rsidRDefault="00190D2D" w:rsidP="00FC74B8">
            <w:pPr>
              <w:pStyle w:val="Odstavekseznama"/>
              <w:numPr>
                <w:ilvl w:val="0"/>
                <w:numId w:val="2"/>
              </w:numPr>
              <w:rPr>
                <w:rFonts w:ascii="Arial" w:hAnsi="Arial" w:cs="Arial"/>
              </w:rPr>
            </w:pPr>
            <w:r w:rsidRPr="007348A1">
              <w:rPr>
                <w:rFonts w:ascii="Arial" w:hAnsi="Arial" w:cs="Arial"/>
              </w:rPr>
              <w:t xml:space="preserve">Načelo nevračanja </w:t>
            </w:r>
            <w:r w:rsidRPr="007348A1">
              <w:rPr>
                <w:rFonts w:ascii="Arial" w:hAnsi="Arial" w:cs="Arial"/>
                <w:i/>
              </w:rPr>
              <w:t>(non-refoulement)</w:t>
            </w:r>
            <w:r w:rsidRPr="007348A1">
              <w:rPr>
                <w:rFonts w:ascii="Arial" w:hAnsi="Arial" w:cs="Arial"/>
              </w:rPr>
              <w:t xml:space="preserve"> in prepoved kolektivnih izgonov</w:t>
            </w:r>
          </w:p>
          <w:p w14:paraId="6BB11344" w14:textId="77777777" w:rsidR="00190D2D" w:rsidRPr="007348A1" w:rsidRDefault="00190D2D" w:rsidP="00190D2D">
            <w:pPr>
              <w:pStyle w:val="Odstavekseznama"/>
              <w:rPr>
                <w:rFonts w:ascii="Arial" w:hAnsi="Arial" w:cs="Arial"/>
              </w:rPr>
            </w:pPr>
          </w:p>
          <w:p w14:paraId="033D198F" w14:textId="77777777" w:rsidR="00190800" w:rsidRPr="007348A1" w:rsidRDefault="00190D2D" w:rsidP="00190800">
            <w:pPr>
              <w:pStyle w:val="Odstavekseznama"/>
              <w:numPr>
                <w:ilvl w:val="0"/>
                <w:numId w:val="1"/>
              </w:numPr>
              <w:rPr>
                <w:rFonts w:ascii="Arial" w:hAnsi="Arial" w:cs="Arial"/>
              </w:rPr>
            </w:pPr>
            <w:r w:rsidRPr="007348A1">
              <w:rPr>
                <w:rFonts w:ascii="Arial" w:hAnsi="Arial" w:cs="Arial"/>
              </w:rPr>
              <w:t>Praktični vidiki prava migracij in azila</w:t>
            </w:r>
          </w:p>
          <w:p w14:paraId="5A0A2E2E" w14:textId="77777777" w:rsidR="00190800" w:rsidRPr="007348A1" w:rsidRDefault="00190800" w:rsidP="00190800">
            <w:pPr>
              <w:pStyle w:val="Odstavekseznama"/>
              <w:numPr>
                <w:ilvl w:val="0"/>
                <w:numId w:val="9"/>
              </w:numPr>
              <w:rPr>
                <w:rFonts w:ascii="Arial" w:hAnsi="Arial" w:cs="Arial"/>
              </w:rPr>
            </w:pPr>
            <w:r w:rsidRPr="007348A1">
              <w:rPr>
                <w:rFonts w:ascii="Arial" w:hAnsi="Arial" w:cs="Arial"/>
              </w:rPr>
              <w:t>Delo sodnika na področju prava migracij in azila</w:t>
            </w:r>
          </w:p>
          <w:p w14:paraId="539A937F" w14:textId="77777777" w:rsidR="00190800" w:rsidRPr="007348A1" w:rsidRDefault="00190800" w:rsidP="00190800">
            <w:pPr>
              <w:pStyle w:val="Odstavekseznama"/>
              <w:numPr>
                <w:ilvl w:val="0"/>
                <w:numId w:val="9"/>
              </w:numPr>
              <w:rPr>
                <w:rFonts w:ascii="Arial" w:hAnsi="Arial" w:cs="Arial"/>
              </w:rPr>
            </w:pPr>
            <w:r w:rsidRPr="007348A1">
              <w:rPr>
                <w:rFonts w:ascii="Arial" w:hAnsi="Arial" w:cs="Arial"/>
              </w:rPr>
              <w:t>Delo svetovalca za begunce oz. pravnega zastopnika migrantov</w:t>
            </w:r>
          </w:p>
          <w:p w14:paraId="6C19587C" w14:textId="77777777" w:rsidR="00190800" w:rsidRPr="007348A1" w:rsidRDefault="00190800" w:rsidP="00190800">
            <w:pPr>
              <w:pStyle w:val="Odstavekseznama"/>
              <w:ind w:left="1416"/>
              <w:rPr>
                <w:rFonts w:ascii="Arial" w:hAnsi="Arial" w:cs="Arial"/>
              </w:rPr>
            </w:pPr>
          </w:p>
          <w:p w14:paraId="236475B9" w14:textId="77777777" w:rsidR="00045C16" w:rsidRPr="007348A1" w:rsidRDefault="00045C16" w:rsidP="00502368">
            <w:pPr>
              <w:rPr>
                <w:rFonts w:ascii="Arial" w:hAnsi="Arial" w:cs="Arial"/>
                <w:sz w:val="22"/>
                <w:szCs w:val="22"/>
              </w:rPr>
            </w:pPr>
          </w:p>
        </w:tc>
        <w:tc>
          <w:tcPr>
            <w:tcW w:w="152" w:type="dxa"/>
            <w:gridSpan w:val="2"/>
            <w:tcBorders>
              <w:top w:val="nil"/>
              <w:left w:val="single" w:sz="4" w:space="0" w:color="auto"/>
              <w:bottom w:val="nil"/>
              <w:right w:val="single" w:sz="4" w:space="0" w:color="auto"/>
            </w:tcBorders>
          </w:tcPr>
          <w:p w14:paraId="60050A9A" w14:textId="77777777" w:rsidR="00045C16" w:rsidRPr="007348A1" w:rsidRDefault="00045C16" w:rsidP="00502368">
            <w:pPr>
              <w:rPr>
                <w:rFonts w:ascii="Arial" w:hAnsi="Arial" w:cs="Arial"/>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14:paraId="3C74B254" w14:textId="77777777" w:rsidR="00045C16" w:rsidRPr="007348A1" w:rsidRDefault="00045C16" w:rsidP="00FC74B8">
            <w:pPr>
              <w:pStyle w:val="Odstavekseznama"/>
              <w:numPr>
                <w:ilvl w:val="0"/>
                <w:numId w:val="6"/>
              </w:numPr>
              <w:rPr>
                <w:rFonts w:ascii="Arial" w:hAnsi="Arial" w:cs="Arial"/>
              </w:rPr>
            </w:pPr>
            <w:r w:rsidRPr="007348A1">
              <w:rPr>
                <w:rFonts w:ascii="Arial" w:hAnsi="Arial" w:cs="Arial"/>
              </w:rPr>
              <w:t xml:space="preserve">Introduction </w:t>
            </w:r>
          </w:p>
          <w:p w14:paraId="63EA0812" w14:textId="77777777" w:rsidR="00045C16" w:rsidRPr="007348A1" w:rsidRDefault="00045C16" w:rsidP="00FC74B8">
            <w:pPr>
              <w:pStyle w:val="Odstavekseznama"/>
              <w:numPr>
                <w:ilvl w:val="0"/>
                <w:numId w:val="7"/>
              </w:numPr>
              <w:rPr>
                <w:rFonts w:ascii="Arial" w:hAnsi="Arial" w:cs="Arial"/>
              </w:rPr>
            </w:pPr>
            <w:r w:rsidRPr="007348A1">
              <w:rPr>
                <w:rFonts w:ascii="Arial" w:hAnsi="Arial" w:cs="Arial"/>
              </w:rPr>
              <w:t>Migration and Refugee Law: the interplay of national, international and European law</w:t>
            </w:r>
          </w:p>
          <w:p w14:paraId="2444864A" w14:textId="77777777" w:rsidR="00045C16" w:rsidRPr="007348A1" w:rsidRDefault="00045C16" w:rsidP="00FC74B8">
            <w:pPr>
              <w:pStyle w:val="Odstavekseznama"/>
              <w:numPr>
                <w:ilvl w:val="0"/>
                <w:numId w:val="7"/>
              </w:numPr>
              <w:rPr>
                <w:rFonts w:ascii="Arial" w:hAnsi="Arial" w:cs="Arial"/>
              </w:rPr>
            </w:pPr>
            <w:r w:rsidRPr="007348A1">
              <w:rPr>
                <w:rFonts w:ascii="Arial" w:hAnsi="Arial" w:cs="Arial"/>
              </w:rPr>
              <w:t>Migration and Refugee Policy of the European Union: On the Boundaries of Utilitarianism</w:t>
            </w:r>
          </w:p>
          <w:p w14:paraId="73E08000" w14:textId="77777777" w:rsidR="00045C16" w:rsidRPr="007348A1" w:rsidRDefault="00045C16" w:rsidP="00045C16">
            <w:pPr>
              <w:pStyle w:val="Odstavekseznama"/>
              <w:rPr>
                <w:rFonts w:ascii="Arial" w:hAnsi="Arial" w:cs="Arial"/>
              </w:rPr>
            </w:pPr>
          </w:p>
          <w:p w14:paraId="069B65E8" w14:textId="77777777" w:rsidR="00045C16" w:rsidRPr="007348A1" w:rsidRDefault="00045C16" w:rsidP="00FC74B8">
            <w:pPr>
              <w:pStyle w:val="Odstavekseznama"/>
              <w:numPr>
                <w:ilvl w:val="0"/>
                <w:numId w:val="6"/>
              </w:numPr>
              <w:rPr>
                <w:rFonts w:ascii="Arial" w:hAnsi="Arial" w:cs="Arial"/>
              </w:rPr>
            </w:pPr>
            <w:r w:rsidRPr="007348A1">
              <w:rPr>
                <w:rFonts w:ascii="Arial" w:hAnsi="Arial" w:cs="Arial"/>
              </w:rPr>
              <w:lastRenderedPageBreak/>
              <w:t>Legal aspects of migration within and to Europe</w:t>
            </w:r>
          </w:p>
          <w:p w14:paraId="12A129F5" w14:textId="77777777" w:rsidR="00045C16" w:rsidRPr="007348A1" w:rsidRDefault="00045C16" w:rsidP="00AE4BFD">
            <w:pPr>
              <w:pStyle w:val="Odstavekseznama"/>
              <w:numPr>
                <w:ilvl w:val="0"/>
                <w:numId w:val="8"/>
              </w:numPr>
              <w:rPr>
                <w:rFonts w:ascii="Arial" w:hAnsi="Arial" w:cs="Arial"/>
              </w:rPr>
            </w:pPr>
            <w:r w:rsidRPr="007348A1">
              <w:rPr>
                <w:rFonts w:ascii="Arial" w:hAnsi="Arial" w:cs="Arial"/>
              </w:rPr>
              <w:t>Freedom of movement of persons: inseparable part of the process of economic integration</w:t>
            </w:r>
          </w:p>
          <w:p w14:paraId="4BD36A14" w14:textId="77777777" w:rsidR="00045C16" w:rsidRPr="007348A1" w:rsidRDefault="00045C16" w:rsidP="00AE4BFD">
            <w:pPr>
              <w:pStyle w:val="Odstavekseznama"/>
              <w:numPr>
                <w:ilvl w:val="0"/>
                <w:numId w:val="8"/>
              </w:numPr>
              <w:rPr>
                <w:rFonts w:ascii="Arial" w:hAnsi="Arial" w:cs="Arial"/>
              </w:rPr>
            </w:pPr>
            <w:r w:rsidRPr="007348A1">
              <w:rPr>
                <w:rFonts w:ascii="Arial" w:hAnsi="Arial" w:cs="Arial"/>
              </w:rPr>
              <w:t>Citizenship of the European Union as a fundamental legal status and the Citizenship Rights Directive</w:t>
            </w:r>
          </w:p>
          <w:p w14:paraId="08996573" w14:textId="77777777" w:rsidR="00045C16" w:rsidRPr="007348A1" w:rsidRDefault="00045C16" w:rsidP="00AE4BFD">
            <w:pPr>
              <w:pStyle w:val="Odstavekseznama"/>
              <w:numPr>
                <w:ilvl w:val="0"/>
                <w:numId w:val="8"/>
              </w:numPr>
              <w:rPr>
                <w:rFonts w:ascii="Arial" w:hAnsi="Arial" w:cs="Arial"/>
              </w:rPr>
            </w:pPr>
            <w:r w:rsidRPr="007348A1">
              <w:rPr>
                <w:rFonts w:ascii="Arial" w:hAnsi="Arial" w:cs="Arial"/>
              </w:rPr>
              <w:t>Migration to Europe</w:t>
            </w:r>
          </w:p>
          <w:p w14:paraId="7FD59AA1" w14:textId="77777777" w:rsidR="00045C16" w:rsidRPr="007348A1" w:rsidRDefault="00045C16" w:rsidP="00AE4BFD">
            <w:pPr>
              <w:pStyle w:val="Odstavekseznama"/>
              <w:numPr>
                <w:ilvl w:val="0"/>
                <w:numId w:val="8"/>
              </w:numPr>
              <w:rPr>
                <w:rFonts w:ascii="Arial" w:hAnsi="Arial" w:cs="Arial"/>
              </w:rPr>
            </w:pPr>
            <w:r w:rsidRPr="007348A1">
              <w:rPr>
                <w:rFonts w:ascii="Arial" w:hAnsi="Arial" w:cs="Arial"/>
              </w:rPr>
              <w:t>Residence and Work in Europe for Third Country Nationals</w:t>
            </w:r>
          </w:p>
          <w:p w14:paraId="409A18FC" w14:textId="77777777" w:rsidR="00045C16" w:rsidRPr="007348A1" w:rsidRDefault="00045C16" w:rsidP="00AE4BFD">
            <w:pPr>
              <w:pStyle w:val="Odstavekseznama"/>
              <w:numPr>
                <w:ilvl w:val="0"/>
                <w:numId w:val="8"/>
              </w:numPr>
              <w:rPr>
                <w:rFonts w:ascii="Arial" w:hAnsi="Arial" w:cs="Arial"/>
              </w:rPr>
            </w:pPr>
            <w:r w:rsidRPr="007348A1">
              <w:rPr>
                <w:rFonts w:ascii="Arial" w:hAnsi="Arial" w:cs="Arial"/>
              </w:rPr>
              <w:t>Family reunification</w:t>
            </w:r>
          </w:p>
          <w:p w14:paraId="72BD572E" w14:textId="77777777" w:rsidR="00045C16" w:rsidRPr="007348A1" w:rsidRDefault="00045C16" w:rsidP="00AE4BFD">
            <w:pPr>
              <w:pStyle w:val="Odstavekseznama"/>
              <w:numPr>
                <w:ilvl w:val="0"/>
                <w:numId w:val="8"/>
              </w:numPr>
              <w:rPr>
                <w:rFonts w:ascii="Arial" w:hAnsi="Arial" w:cs="Arial"/>
              </w:rPr>
            </w:pPr>
            <w:r w:rsidRPr="007348A1">
              <w:rPr>
                <w:rFonts w:ascii="Arial" w:hAnsi="Arial" w:cs="Arial"/>
              </w:rPr>
              <w:t>The migration of students, researchers and (highly skilled) workers into Europe</w:t>
            </w:r>
          </w:p>
          <w:p w14:paraId="64C68588" w14:textId="77777777" w:rsidR="00045C16" w:rsidRPr="007348A1" w:rsidRDefault="00045C16" w:rsidP="00AE4BFD">
            <w:pPr>
              <w:pStyle w:val="Odstavekseznama"/>
              <w:numPr>
                <w:ilvl w:val="0"/>
                <w:numId w:val="8"/>
              </w:numPr>
              <w:rPr>
                <w:rFonts w:ascii="Arial" w:hAnsi="Arial" w:cs="Arial"/>
              </w:rPr>
            </w:pPr>
            <w:r w:rsidRPr="007348A1">
              <w:rPr>
                <w:rFonts w:ascii="Arial" w:hAnsi="Arial" w:cs="Arial"/>
              </w:rPr>
              <w:t>The rights of long-term residents</w:t>
            </w:r>
          </w:p>
          <w:p w14:paraId="2EFD9C22" w14:textId="77777777" w:rsidR="00045C16" w:rsidRPr="007348A1" w:rsidRDefault="00045C16" w:rsidP="00AE4BFD">
            <w:pPr>
              <w:pStyle w:val="Odstavekseznama"/>
              <w:numPr>
                <w:ilvl w:val="0"/>
                <w:numId w:val="8"/>
              </w:numPr>
              <w:rPr>
                <w:rFonts w:ascii="Arial" w:hAnsi="Arial" w:cs="Arial"/>
              </w:rPr>
            </w:pPr>
            <w:r w:rsidRPr="007348A1">
              <w:rPr>
                <w:rFonts w:ascii="Arial" w:hAnsi="Arial" w:cs="Arial"/>
              </w:rPr>
              <w:t>Illegal Migration, Return Directive and Immigration Detention</w:t>
            </w:r>
          </w:p>
          <w:p w14:paraId="525B8324" w14:textId="77777777" w:rsidR="00045C16" w:rsidRPr="007348A1" w:rsidRDefault="00045C16" w:rsidP="00AE4BFD">
            <w:pPr>
              <w:pStyle w:val="Odstavekseznama"/>
              <w:numPr>
                <w:ilvl w:val="0"/>
                <w:numId w:val="8"/>
              </w:numPr>
              <w:rPr>
                <w:rFonts w:ascii="Arial" w:hAnsi="Arial" w:cs="Arial"/>
              </w:rPr>
            </w:pPr>
            <w:r w:rsidRPr="007348A1">
              <w:rPr>
                <w:rFonts w:ascii="Arial" w:hAnsi="Arial" w:cs="Arial"/>
              </w:rPr>
              <w:t xml:space="preserve">Internal borders, external borders, the Schengen </w:t>
            </w:r>
            <w:r w:rsidR="00AE4BFD" w:rsidRPr="007348A1">
              <w:rPr>
                <w:rFonts w:ascii="Arial" w:hAnsi="Arial" w:cs="Arial"/>
              </w:rPr>
              <w:t xml:space="preserve">System, </w:t>
            </w:r>
            <w:r w:rsidRPr="007348A1">
              <w:rPr>
                <w:rFonts w:ascii="Arial" w:hAnsi="Arial" w:cs="Arial"/>
              </w:rPr>
              <w:t>the European Border and Coast Guard and the Visa System</w:t>
            </w:r>
          </w:p>
          <w:p w14:paraId="1BC2DE29" w14:textId="77777777" w:rsidR="00045C16" w:rsidRPr="007348A1" w:rsidRDefault="00045C16" w:rsidP="00045C16">
            <w:pPr>
              <w:pStyle w:val="Odstavekseznama"/>
              <w:rPr>
                <w:rFonts w:ascii="Arial" w:hAnsi="Arial" w:cs="Arial"/>
              </w:rPr>
            </w:pPr>
          </w:p>
          <w:p w14:paraId="1DD19BD2" w14:textId="77777777" w:rsidR="00045C16" w:rsidRPr="007348A1" w:rsidRDefault="00045C16" w:rsidP="00FC74B8">
            <w:pPr>
              <w:pStyle w:val="Odstavekseznama"/>
              <w:numPr>
                <w:ilvl w:val="0"/>
                <w:numId w:val="6"/>
              </w:numPr>
              <w:rPr>
                <w:rFonts w:ascii="Arial" w:hAnsi="Arial" w:cs="Arial"/>
              </w:rPr>
            </w:pPr>
            <w:r w:rsidRPr="007348A1">
              <w:rPr>
                <w:rFonts w:ascii="Arial" w:hAnsi="Arial" w:cs="Arial"/>
              </w:rPr>
              <w:t>European and International Refugee Law</w:t>
            </w:r>
          </w:p>
          <w:p w14:paraId="0D53815D" w14:textId="77777777" w:rsidR="00045C16" w:rsidRPr="007348A1" w:rsidRDefault="00045C16" w:rsidP="00F6661B">
            <w:pPr>
              <w:pStyle w:val="Odstavekseznama"/>
              <w:numPr>
                <w:ilvl w:val="0"/>
                <w:numId w:val="11"/>
              </w:numPr>
              <w:rPr>
                <w:rFonts w:ascii="Arial" w:hAnsi="Arial" w:cs="Arial"/>
              </w:rPr>
            </w:pPr>
            <w:r w:rsidRPr="007348A1">
              <w:rPr>
                <w:rFonts w:ascii="Arial" w:hAnsi="Arial" w:cs="Arial"/>
              </w:rPr>
              <w:t>Asylum Seekers and their rights under the EU Reception Directive</w:t>
            </w:r>
          </w:p>
          <w:p w14:paraId="5796777E" w14:textId="77777777" w:rsidR="00045C16" w:rsidRPr="007348A1" w:rsidRDefault="00045C16" w:rsidP="00F6661B">
            <w:pPr>
              <w:pStyle w:val="Odstavekseznama"/>
              <w:numPr>
                <w:ilvl w:val="0"/>
                <w:numId w:val="11"/>
              </w:numPr>
              <w:rPr>
                <w:rFonts w:ascii="Arial" w:hAnsi="Arial" w:cs="Arial"/>
              </w:rPr>
            </w:pPr>
            <w:r w:rsidRPr="007348A1">
              <w:rPr>
                <w:rFonts w:ascii="Arial" w:hAnsi="Arial" w:cs="Arial"/>
              </w:rPr>
              <w:t xml:space="preserve">Determination of Refugee Status under the 1951 and the EU Qualifications Directive </w:t>
            </w:r>
          </w:p>
          <w:p w14:paraId="42730B25" w14:textId="77777777" w:rsidR="00045C16" w:rsidRPr="007348A1" w:rsidRDefault="00045C16" w:rsidP="00F6661B">
            <w:pPr>
              <w:pStyle w:val="Odstavekseznama"/>
              <w:numPr>
                <w:ilvl w:val="0"/>
                <w:numId w:val="11"/>
              </w:numPr>
              <w:rPr>
                <w:rFonts w:ascii="Arial" w:hAnsi="Arial" w:cs="Arial"/>
              </w:rPr>
            </w:pPr>
            <w:r w:rsidRPr="007348A1">
              <w:rPr>
                <w:rFonts w:ascii="Arial" w:hAnsi="Arial" w:cs="Arial"/>
              </w:rPr>
              <w:t>Subsidiary protection</w:t>
            </w:r>
          </w:p>
          <w:p w14:paraId="527F5345" w14:textId="77777777" w:rsidR="00045C16" w:rsidRPr="007348A1" w:rsidRDefault="00045C16" w:rsidP="00F6661B">
            <w:pPr>
              <w:pStyle w:val="Odstavekseznama"/>
              <w:numPr>
                <w:ilvl w:val="0"/>
                <w:numId w:val="11"/>
              </w:numPr>
              <w:rPr>
                <w:rFonts w:ascii="Arial" w:hAnsi="Arial" w:cs="Arial"/>
              </w:rPr>
            </w:pPr>
            <w:r w:rsidRPr="007348A1">
              <w:rPr>
                <w:rFonts w:ascii="Arial" w:hAnsi="Arial" w:cs="Arial"/>
              </w:rPr>
              <w:t>Procedural Standards and Evidentiary Issues: EU Procedural Directive and national law</w:t>
            </w:r>
          </w:p>
          <w:p w14:paraId="79AA6D2F" w14:textId="77777777" w:rsidR="00045C16" w:rsidRPr="007348A1" w:rsidRDefault="00045C16" w:rsidP="00F6661B">
            <w:pPr>
              <w:pStyle w:val="Odstavekseznama"/>
              <w:numPr>
                <w:ilvl w:val="0"/>
                <w:numId w:val="11"/>
              </w:numPr>
              <w:rPr>
                <w:rFonts w:ascii="Arial" w:hAnsi="Arial" w:cs="Arial"/>
              </w:rPr>
            </w:pPr>
            <w:r w:rsidRPr="007348A1">
              <w:rPr>
                <w:rFonts w:ascii="Arial" w:hAnsi="Arial" w:cs="Arial"/>
              </w:rPr>
              <w:t>The Dublin System and EURODAC</w:t>
            </w:r>
          </w:p>
          <w:p w14:paraId="1A2B8C3A" w14:textId="77777777" w:rsidR="00045C16" w:rsidRPr="007348A1" w:rsidRDefault="00045C16" w:rsidP="00F6661B">
            <w:pPr>
              <w:pStyle w:val="Odstavekseznama"/>
              <w:numPr>
                <w:ilvl w:val="0"/>
                <w:numId w:val="11"/>
              </w:numPr>
              <w:rPr>
                <w:rFonts w:ascii="Arial" w:hAnsi="Arial" w:cs="Arial"/>
              </w:rPr>
            </w:pPr>
            <w:r w:rsidRPr="007348A1">
              <w:rPr>
                <w:rFonts w:ascii="Arial" w:hAnsi="Arial" w:cs="Arial"/>
              </w:rPr>
              <w:t>The principle of non-refoulement and the prohi</w:t>
            </w:r>
            <w:r w:rsidR="00E34087" w:rsidRPr="007348A1">
              <w:rPr>
                <w:rFonts w:ascii="Arial" w:hAnsi="Arial" w:cs="Arial"/>
              </w:rPr>
              <w:t>bition of (collective) expulsion</w:t>
            </w:r>
          </w:p>
          <w:p w14:paraId="13AF5322" w14:textId="77777777" w:rsidR="00E34087" w:rsidRPr="007348A1" w:rsidRDefault="00E34087" w:rsidP="00E34087">
            <w:pPr>
              <w:pStyle w:val="Odstavekseznama"/>
              <w:rPr>
                <w:rFonts w:ascii="Arial" w:hAnsi="Arial" w:cs="Arial"/>
              </w:rPr>
            </w:pPr>
          </w:p>
          <w:p w14:paraId="4814EC75" w14:textId="77777777" w:rsidR="00045C16" w:rsidRPr="007348A1" w:rsidRDefault="00190800" w:rsidP="00190800">
            <w:pPr>
              <w:pStyle w:val="Odstavekseznama"/>
              <w:numPr>
                <w:ilvl w:val="0"/>
                <w:numId w:val="6"/>
              </w:numPr>
              <w:rPr>
                <w:rFonts w:ascii="Arial" w:hAnsi="Arial" w:cs="Arial"/>
                <w:lang w:val="en-US"/>
              </w:rPr>
            </w:pPr>
            <w:r w:rsidRPr="007348A1">
              <w:rPr>
                <w:rFonts w:ascii="Arial" w:hAnsi="Arial" w:cs="Arial"/>
                <w:lang w:val="en-US"/>
              </w:rPr>
              <w:t>The practice of migration and refugee law</w:t>
            </w:r>
          </w:p>
          <w:p w14:paraId="65C02BAE" w14:textId="77777777" w:rsidR="00190800" w:rsidRPr="007348A1" w:rsidRDefault="00190800" w:rsidP="00190800">
            <w:pPr>
              <w:pStyle w:val="Odstavekseznama"/>
              <w:numPr>
                <w:ilvl w:val="0"/>
                <w:numId w:val="10"/>
              </w:numPr>
              <w:rPr>
                <w:rFonts w:ascii="Arial" w:hAnsi="Arial" w:cs="Arial"/>
                <w:lang w:val="en-US"/>
              </w:rPr>
            </w:pPr>
            <w:r w:rsidRPr="007348A1">
              <w:rPr>
                <w:rFonts w:ascii="Arial" w:hAnsi="Arial" w:cs="Arial"/>
                <w:lang w:val="en-US"/>
              </w:rPr>
              <w:t>The work of an asylum and refugee judge</w:t>
            </w:r>
          </w:p>
          <w:p w14:paraId="185890A0" w14:textId="77777777" w:rsidR="00190800" w:rsidRPr="007348A1" w:rsidRDefault="00190800" w:rsidP="00190800">
            <w:pPr>
              <w:pStyle w:val="Odstavekseznama"/>
              <w:numPr>
                <w:ilvl w:val="0"/>
                <w:numId w:val="10"/>
              </w:numPr>
              <w:rPr>
                <w:rFonts w:ascii="Arial" w:hAnsi="Arial" w:cs="Arial"/>
                <w:lang w:val="en-US"/>
              </w:rPr>
            </w:pPr>
            <w:r w:rsidRPr="007348A1">
              <w:rPr>
                <w:rFonts w:ascii="Arial" w:hAnsi="Arial" w:cs="Arial"/>
                <w:lang w:val="en-US"/>
              </w:rPr>
              <w:t xml:space="preserve">The work of a refugee counsellor </w:t>
            </w:r>
          </w:p>
        </w:tc>
      </w:tr>
    </w:tbl>
    <w:p w14:paraId="583A5769" w14:textId="77777777" w:rsidR="00674A30" w:rsidRPr="007348A1" w:rsidRDefault="00674A30">
      <w:pPr>
        <w:rPr>
          <w:rFonts w:ascii="Arial" w:hAnsi="Arial" w:cs="Arial"/>
          <w:sz w:val="22"/>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860D94" w:rsidRPr="007348A1" w14:paraId="756B31D1" w14:textId="77777777" w:rsidTr="00502368">
        <w:tc>
          <w:tcPr>
            <w:tcW w:w="9690" w:type="dxa"/>
            <w:gridSpan w:val="6"/>
          </w:tcPr>
          <w:p w14:paraId="51383C39" w14:textId="77777777" w:rsidR="00860D94" w:rsidRPr="007348A1" w:rsidRDefault="00860D94" w:rsidP="00502368">
            <w:pPr>
              <w:jc w:val="both"/>
              <w:rPr>
                <w:rFonts w:ascii="Arial" w:hAnsi="Arial" w:cs="Arial"/>
                <w:b/>
                <w:sz w:val="22"/>
                <w:szCs w:val="22"/>
              </w:rPr>
            </w:pPr>
            <w:r w:rsidRPr="007348A1">
              <w:rPr>
                <w:rFonts w:ascii="Arial" w:hAnsi="Arial" w:cs="Arial"/>
                <w:sz w:val="22"/>
                <w:szCs w:val="22"/>
              </w:rPr>
              <w:br w:type="page"/>
            </w:r>
            <w:r w:rsidRPr="007348A1">
              <w:rPr>
                <w:rFonts w:ascii="Arial" w:hAnsi="Arial" w:cs="Arial"/>
                <w:b/>
                <w:sz w:val="22"/>
                <w:szCs w:val="22"/>
              </w:rPr>
              <w:t>Temeljni literatura in viri / Readings:</w:t>
            </w:r>
          </w:p>
        </w:tc>
      </w:tr>
      <w:tr w:rsidR="00860D94" w:rsidRPr="007348A1" w14:paraId="1306F3D9" w14:textId="77777777" w:rsidTr="00502368">
        <w:trPr>
          <w:trHeight w:val="1142"/>
        </w:trPr>
        <w:tc>
          <w:tcPr>
            <w:tcW w:w="9690" w:type="dxa"/>
            <w:gridSpan w:val="6"/>
            <w:tcBorders>
              <w:top w:val="single" w:sz="4" w:space="0" w:color="auto"/>
              <w:left w:val="single" w:sz="4" w:space="0" w:color="auto"/>
              <w:bottom w:val="single" w:sz="4" w:space="0" w:color="auto"/>
              <w:right w:val="single" w:sz="4" w:space="0" w:color="auto"/>
            </w:tcBorders>
          </w:tcPr>
          <w:p w14:paraId="6B87FF95" w14:textId="77777777" w:rsidR="005368D4" w:rsidRDefault="005368D4" w:rsidP="005368D4">
            <w:pPr>
              <w:pStyle w:val="literatura"/>
              <w:numPr>
                <w:ilvl w:val="0"/>
                <w:numId w:val="0"/>
              </w:numPr>
              <w:tabs>
                <w:tab w:val="left" w:pos="0"/>
              </w:tabs>
              <w:rPr>
                <w:rFonts w:asciiTheme="minorHAnsi" w:hAnsiTheme="minorHAnsi"/>
                <w:sz w:val="24"/>
                <w:szCs w:val="24"/>
              </w:rPr>
            </w:pPr>
            <w:bookmarkStart w:id="6" w:name="Ucbeniki"/>
            <w:bookmarkEnd w:id="6"/>
            <w:r>
              <w:rPr>
                <w:rFonts w:asciiTheme="minorHAnsi" w:hAnsiTheme="minorHAnsi"/>
                <w:sz w:val="24"/>
                <w:szCs w:val="24"/>
              </w:rPr>
              <w:t xml:space="preserve">Temeljna literatura: </w:t>
            </w:r>
          </w:p>
          <w:p w14:paraId="5B64DBC2" w14:textId="77777777" w:rsidR="005368D4" w:rsidRDefault="005368D4" w:rsidP="005368D4">
            <w:pPr>
              <w:pStyle w:val="literatura"/>
              <w:numPr>
                <w:ilvl w:val="0"/>
                <w:numId w:val="0"/>
              </w:numPr>
              <w:tabs>
                <w:tab w:val="left" w:pos="0"/>
              </w:tabs>
              <w:rPr>
                <w:rFonts w:asciiTheme="minorHAnsi" w:hAnsiTheme="minorHAnsi"/>
                <w:sz w:val="24"/>
                <w:szCs w:val="24"/>
              </w:rPr>
            </w:pPr>
          </w:p>
          <w:p w14:paraId="474F7938" w14:textId="77777777" w:rsidR="005368D4" w:rsidRDefault="005368D4" w:rsidP="005368D4">
            <w:pPr>
              <w:pStyle w:val="literatura"/>
              <w:numPr>
                <w:ilvl w:val="0"/>
                <w:numId w:val="13"/>
              </w:numPr>
              <w:tabs>
                <w:tab w:val="left" w:pos="0"/>
              </w:tabs>
              <w:ind w:left="568" w:hanging="284"/>
              <w:rPr>
                <w:rFonts w:asciiTheme="minorHAnsi" w:hAnsiTheme="minorHAnsi"/>
                <w:sz w:val="24"/>
                <w:szCs w:val="24"/>
              </w:rPr>
            </w:pPr>
            <w:r>
              <w:rPr>
                <w:rFonts w:asciiTheme="minorHAnsi" w:hAnsiTheme="minorHAnsi"/>
                <w:sz w:val="24"/>
                <w:szCs w:val="24"/>
              </w:rPr>
              <w:t>Bardutzky, S., Fajdiga, M., Greif, M., Lipovec Čebron, U., Regvar, U., Samobor, A., Zagorc, S., Zalar, B., &amp; Zorn, J., Uvod v pravo migracij in mednarodne zaščite (Pravna fakulteta, Založba Pravne fakultete, 2023).</w:t>
            </w:r>
          </w:p>
          <w:p w14:paraId="4EEA27B8" w14:textId="77777777" w:rsidR="005368D4" w:rsidRDefault="005368D4" w:rsidP="005368D4">
            <w:pPr>
              <w:pStyle w:val="literatura"/>
              <w:numPr>
                <w:ilvl w:val="0"/>
                <w:numId w:val="13"/>
              </w:numPr>
              <w:tabs>
                <w:tab w:val="left" w:pos="0"/>
              </w:tabs>
              <w:ind w:left="568" w:hanging="284"/>
              <w:rPr>
                <w:rFonts w:asciiTheme="minorHAnsi" w:hAnsiTheme="minorHAnsi"/>
                <w:sz w:val="24"/>
                <w:szCs w:val="24"/>
              </w:rPr>
            </w:pPr>
            <w:r>
              <w:rPr>
                <w:rFonts w:asciiTheme="minorHAnsi" w:hAnsiTheme="minorHAnsi"/>
                <w:sz w:val="24"/>
                <w:szCs w:val="24"/>
              </w:rPr>
              <w:t xml:space="preserve">Hathaway, J. C., Foster, M., The Law of Refugee Status (Cambridge University Press, 2014). </w:t>
            </w:r>
          </w:p>
          <w:p w14:paraId="08029789" w14:textId="77777777" w:rsidR="005368D4" w:rsidRDefault="005368D4" w:rsidP="005368D4">
            <w:pPr>
              <w:pStyle w:val="literatura"/>
              <w:numPr>
                <w:ilvl w:val="0"/>
                <w:numId w:val="0"/>
              </w:numPr>
              <w:tabs>
                <w:tab w:val="left" w:pos="0"/>
              </w:tabs>
              <w:ind w:left="568" w:hanging="284"/>
              <w:rPr>
                <w:rFonts w:asciiTheme="minorHAnsi" w:hAnsiTheme="minorHAnsi"/>
                <w:sz w:val="24"/>
                <w:szCs w:val="24"/>
              </w:rPr>
            </w:pPr>
          </w:p>
          <w:p w14:paraId="667C2681" w14:textId="77777777" w:rsidR="005368D4" w:rsidRDefault="005368D4" w:rsidP="005368D4">
            <w:pPr>
              <w:pStyle w:val="literatura"/>
              <w:numPr>
                <w:ilvl w:val="0"/>
                <w:numId w:val="0"/>
              </w:numPr>
              <w:tabs>
                <w:tab w:val="left" w:pos="0"/>
              </w:tabs>
              <w:rPr>
                <w:rFonts w:asciiTheme="minorHAnsi" w:hAnsiTheme="minorHAnsi"/>
                <w:sz w:val="24"/>
                <w:szCs w:val="24"/>
              </w:rPr>
            </w:pPr>
            <w:r>
              <w:rPr>
                <w:rFonts w:asciiTheme="minorHAnsi" w:hAnsiTheme="minorHAnsi"/>
                <w:sz w:val="24"/>
                <w:szCs w:val="24"/>
              </w:rPr>
              <w:t xml:space="preserve">Priporočena literatura: </w:t>
            </w:r>
          </w:p>
          <w:p w14:paraId="43DE047F" w14:textId="77777777" w:rsidR="005368D4" w:rsidRDefault="005368D4" w:rsidP="005368D4">
            <w:pPr>
              <w:pStyle w:val="literatura"/>
              <w:numPr>
                <w:ilvl w:val="0"/>
                <w:numId w:val="0"/>
              </w:numPr>
              <w:tabs>
                <w:tab w:val="left" w:pos="0"/>
              </w:tabs>
              <w:ind w:left="568" w:hanging="284"/>
              <w:rPr>
                <w:rFonts w:asciiTheme="minorHAnsi" w:hAnsiTheme="minorHAnsi"/>
                <w:sz w:val="24"/>
                <w:szCs w:val="24"/>
              </w:rPr>
            </w:pPr>
          </w:p>
          <w:p w14:paraId="375F499D" w14:textId="77777777" w:rsidR="005368D4" w:rsidRDefault="005368D4" w:rsidP="005368D4">
            <w:pPr>
              <w:pStyle w:val="literatura"/>
              <w:numPr>
                <w:ilvl w:val="0"/>
                <w:numId w:val="13"/>
              </w:numPr>
              <w:tabs>
                <w:tab w:val="left" w:pos="0"/>
              </w:tabs>
              <w:ind w:left="568" w:hanging="284"/>
              <w:rPr>
                <w:rFonts w:asciiTheme="minorHAnsi" w:hAnsiTheme="minorHAnsi"/>
                <w:sz w:val="24"/>
                <w:szCs w:val="24"/>
              </w:rPr>
            </w:pPr>
            <w:r>
              <w:rPr>
                <w:rFonts w:asciiTheme="minorHAnsi" w:hAnsiTheme="minorHAnsi"/>
                <w:sz w:val="24"/>
                <w:szCs w:val="24"/>
              </w:rPr>
              <w:lastRenderedPageBreak/>
              <w:t xml:space="preserve">Barnard, C. and Peers, S., European Union Law , 2nd edition (Oxford University Press, 2017). </w:t>
            </w:r>
          </w:p>
          <w:p w14:paraId="5D97DED4" w14:textId="77777777" w:rsidR="005368D4" w:rsidRDefault="005368D4" w:rsidP="005368D4">
            <w:pPr>
              <w:pStyle w:val="literatura"/>
              <w:numPr>
                <w:ilvl w:val="0"/>
                <w:numId w:val="13"/>
              </w:numPr>
              <w:tabs>
                <w:tab w:val="left" w:pos="0"/>
              </w:tabs>
              <w:ind w:left="568" w:hanging="284"/>
              <w:rPr>
                <w:rFonts w:asciiTheme="minorHAnsi" w:hAnsiTheme="minorHAnsi"/>
                <w:sz w:val="24"/>
                <w:szCs w:val="24"/>
              </w:rPr>
            </w:pPr>
            <w:r>
              <w:rPr>
                <w:rFonts w:asciiTheme="minorHAnsi" w:hAnsiTheme="minorHAnsi"/>
                <w:sz w:val="24"/>
                <w:szCs w:val="24"/>
              </w:rPr>
              <w:t xml:space="preserve">Chalmers D., Davies G., Monti G., European Union Law: Text and Materials, 3. ed. (Cambridge University Press, 2014). </w:t>
            </w:r>
          </w:p>
          <w:p w14:paraId="264C6035" w14:textId="77777777" w:rsidR="005368D4" w:rsidRDefault="005368D4" w:rsidP="005368D4">
            <w:pPr>
              <w:pStyle w:val="literatura"/>
              <w:numPr>
                <w:ilvl w:val="0"/>
                <w:numId w:val="13"/>
              </w:numPr>
              <w:tabs>
                <w:tab w:val="left" w:pos="0"/>
              </w:tabs>
              <w:ind w:left="568" w:hanging="284"/>
              <w:rPr>
                <w:rFonts w:asciiTheme="minorHAnsi" w:hAnsiTheme="minorHAnsi"/>
                <w:sz w:val="24"/>
                <w:szCs w:val="24"/>
              </w:rPr>
            </w:pPr>
            <w:r>
              <w:rPr>
                <w:rFonts w:asciiTheme="minorHAnsi" w:hAnsiTheme="minorHAnsi"/>
                <w:sz w:val="24"/>
                <w:szCs w:val="24"/>
              </w:rPr>
              <w:t xml:space="preserve">Peers, S., EU Justice and Home Affairs Law. Volume I: EU Immigration and Asylum Law, 4th Ed (Oxford University Press, 2016). </w:t>
            </w:r>
          </w:p>
          <w:p w14:paraId="5B138806" w14:textId="77777777" w:rsidR="005368D4" w:rsidRDefault="005368D4" w:rsidP="005368D4">
            <w:pPr>
              <w:pStyle w:val="literatura"/>
              <w:numPr>
                <w:ilvl w:val="0"/>
                <w:numId w:val="13"/>
              </w:numPr>
              <w:tabs>
                <w:tab w:val="left" w:pos="0"/>
              </w:tabs>
              <w:ind w:left="568" w:hanging="284"/>
              <w:rPr>
                <w:rFonts w:asciiTheme="minorHAnsi" w:hAnsiTheme="minorHAnsi"/>
                <w:sz w:val="24"/>
                <w:szCs w:val="24"/>
              </w:rPr>
            </w:pPr>
            <w:r>
              <w:rPr>
                <w:rFonts w:asciiTheme="minorHAnsi" w:hAnsiTheme="minorHAnsi"/>
                <w:sz w:val="24"/>
                <w:szCs w:val="24"/>
              </w:rPr>
              <w:t xml:space="preserve">Tsourdi, E. (ur.), De Bruycker, P. (ur.), Research Handbook on EU Migration and Asylum Law (Edward Elgar Publishing, 2022). </w:t>
            </w:r>
          </w:p>
          <w:p w14:paraId="268337F8" w14:textId="77777777" w:rsidR="00860D94" w:rsidRPr="007348A1" w:rsidRDefault="00860D94" w:rsidP="005A54D0">
            <w:pPr>
              <w:pStyle w:val="literatura"/>
              <w:numPr>
                <w:ilvl w:val="0"/>
                <w:numId w:val="0"/>
              </w:numPr>
              <w:tabs>
                <w:tab w:val="left" w:pos="0"/>
              </w:tabs>
              <w:jc w:val="left"/>
              <w:rPr>
                <w:rFonts w:ascii="Arial" w:hAnsi="Arial" w:cs="Arial"/>
                <w:b/>
                <w:bCs/>
                <w:szCs w:val="22"/>
              </w:rPr>
            </w:pPr>
          </w:p>
        </w:tc>
      </w:tr>
      <w:tr w:rsidR="00860D94" w:rsidRPr="007348A1" w14:paraId="74D006B9" w14:textId="77777777" w:rsidTr="00502368">
        <w:trPr>
          <w:trHeight w:val="73"/>
        </w:trPr>
        <w:tc>
          <w:tcPr>
            <w:tcW w:w="4717" w:type="dxa"/>
            <w:gridSpan w:val="2"/>
            <w:tcBorders>
              <w:top w:val="nil"/>
              <w:left w:val="nil"/>
              <w:bottom w:val="single" w:sz="4" w:space="0" w:color="auto"/>
              <w:right w:val="nil"/>
            </w:tcBorders>
          </w:tcPr>
          <w:p w14:paraId="0CC57BA4" w14:textId="77777777" w:rsidR="00860D94" w:rsidRPr="007348A1" w:rsidRDefault="00860D94" w:rsidP="00502368">
            <w:pPr>
              <w:rPr>
                <w:rFonts w:ascii="Arial" w:hAnsi="Arial" w:cs="Arial"/>
                <w:b/>
                <w:bCs/>
                <w:sz w:val="22"/>
                <w:szCs w:val="22"/>
              </w:rPr>
            </w:pPr>
          </w:p>
          <w:p w14:paraId="0F24F1B6" w14:textId="77777777" w:rsidR="00860D94" w:rsidRPr="007348A1" w:rsidRDefault="00860D94" w:rsidP="00502368">
            <w:pPr>
              <w:rPr>
                <w:rFonts w:ascii="Arial" w:hAnsi="Arial" w:cs="Arial"/>
                <w:b/>
                <w:sz w:val="22"/>
                <w:szCs w:val="22"/>
              </w:rPr>
            </w:pPr>
            <w:r w:rsidRPr="007348A1">
              <w:rPr>
                <w:rFonts w:ascii="Arial" w:hAnsi="Arial" w:cs="Arial"/>
                <w:b/>
                <w:sz w:val="22"/>
                <w:szCs w:val="22"/>
              </w:rPr>
              <w:t>Cilji in kompetence:</w:t>
            </w:r>
          </w:p>
        </w:tc>
        <w:tc>
          <w:tcPr>
            <w:tcW w:w="152" w:type="dxa"/>
            <w:gridSpan w:val="2"/>
          </w:tcPr>
          <w:p w14:paraId="17599043" w14:textId="77777777" w:rsidR="00860D94" w:rsidRPr="007348A1" w:rsidRDefault="00860D94" w:rsidP="00502368">
            <w:pPr>
              <w:rPr>
                <w:rFonts w:ascii="Arial" w:hAnsi="Arial" w:cs="Arial"/>
                <w:b/>
                <w:sz w:val="22"/>
                <w:szCs w:val="22"/>
              </w:rPr>
            </w:pPr>
          </w:p>
        </w:tc>
        <w:tc>
          <w:tcPr>
            <w:tcW w:w="4821" w:type="dxa"/>
            <w:gridSpan w:val="2"/>
            <w:tcBorders>
              <w:top w:val="nil"/>
              <w:left w:val="nil"/>
              <w:bottom w:val="single" w:sz="4" w:space="0" w:color="auto"/>
              <w:right w:val="nil"/>
            </w:tcBorders>
          </w:tcPr>
          <w:p w14:paraId="62001635" w14:textId="77777777" w:rsidR="00860D94" w:rsidRPr="007348A1" w:rsidRDefault="00860D94" w:rsidP="00502368">
            <w:pPr>
              <w:rPr>
                <w:rFonts w:ascii="Arial" w:hAnsi="Arial" w:cs="Arial"/>
                <w:b/>
                <w:sz w:val="22"/>
                <w:szCs w:val="22"/>
              </w:rPr>
            </w:pPr>
          </w:p>
          <w:p w14:paraId="3860CE1D" w14:textId="77777777" w:rsidR="00860D94" w:rsidRPr="007348A1" w:rsidRDefault="00860D94" w:rsidP="00502368">
            <w:pPr>
              <w:rPr>
                <w:rFonts w:ascii="Arial" w:hAnsi="Arial" w:cs="Arial"/>
                <w:b/>
                <w:sz w:val="22"/>
                <w:szCs w:val="22"/>
              </w:rPr>
            </w:pPr>
            <w:r w:rsidRPr="007348A1">
              <w:rPr>
                <w:rFonts w:ascii="Arial" w:hAnsi="Arial" w:cs="Arial"/>
                <w:b/>
                <w:sz w:val="22"/>
                <w:szCs w:val="22"/>
                <w:lang w:val="en-GB"/>
              </w:rPr>
              <w:t>Objectives and competences</w:t>
            </w:r>
            <w:r w:rsidRPr="007348A1">
              <w:rPr>
                <w:rFonts w:ascii="Arial" w:hAnsi="Arial" w:cs="Arial"/>
                <w:b/>
                <w:sz w:val="22"/>
                <w:szCs w:val="22"/>
              </w:rPr>
              <w:t>:</w:t>
            </w:r>
          </w:p>
        </w:tc>
      </w:tr>
      <w:tr w:rsidR="00860D94" w:rsidRPr="007348A1" w14:paraId="5BBA22D3" w14:textId="77777777" w:rsidTr="00502368">
        <w:trPr>
          <w:trHeight w:val="1838"/>
        </w:trPr>
        <w:tc>
          <w:tcPr>
            <w:tcW w:w="4717" w:type="dxa"/>
            <w:gridSpan w:val="2"/>
            <w:tcBorders>
              <w:top w:val="single" w:sz="4" w:space="0" w:color="auto"/>
              <w:left w:val="single" w:sz="4" w:space="0" w:color="auto"/>
              <w:bottom w:val="single" w:sz="4" w:space="0" w:color="auto"/>
              <w:right w:val="single" w:sz="4" w:space="0" w:color="auto"/>
            </w:tcBorders>
          </w:tcPr>
          <w:p w14:paraId="6B9EDF64" w14:textId="77777777" w:rsidR="00860D94" w:rsidRPr="007348A1" w:rsidRDefault="00F6661B" w:rsidP="00502368">
            <w:pPr>
              <w:rPr>
                <w:rFonts w:ascii="Arial" w:hAnsi="Arial" w:cs="Arial"/>
                <w:sz w:val="22"/>
                <w:szCs w:val="22"/>
              </w:rPr>
            </w:pPr>
            <w:r w:rsidRPr="007348A1">
              <w:rPr>
                <w:rFonts w:ascii="Arial" w:hAnsi="Arial" w:cs="Arial"/>
                <w:sz w:val="22"/>
                <w:szCs w:val="22"/>
              </w:rPr>
              <w:t xml:space="preserve">Cilj tega predmeta je seznaniti študenta s področjem prava migracij in azila. Poudarek je na prepletu različnih pravnih sistemov na tem področju (pravo Evropske unije, mednarodno pravo (človekovih pravic), nacionalno pravo. Študentje bodo pridobili razumevanje pravnih problemov na tem področju, s katerim bodo lahko pristopali k praktičnim pravnih problemom in jih kritično razčlenili. </w:t>
            </w:r>
          </w:p>
        </w:tc>
        <w:tc>
          <w:tcPr>
            <w:tcW w:w="152" w:type="dxa"/>
            <w:gridSpan w:val="2"/>
            <w:tcBorders>
              <w:top w:val="nil"/>
              <w:left w:val="single" w:sz="4" w:space="0" w:color="auto"/>
              <w:bottom w:val="nil"/>
              <w:right w:val="single" w:sz="4" w:space="0" w:color="auto"/>
            </w:tcBorders>
          </w:tcPr>
          <w:p w14:paraId="48ECE6A7" w14:textId="77777777" w:rsidR="00860D94" w:rsidRPr="007348A1" w:rsidRDefault="00860D94" w:rsidP="00502368">
            <w:pPr>
              <w:rPr>
                <w:rFonts w:ascii="Arial" w:hAnsi="Arial" w:cs="Arial"/>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14:paraId="43598117" w14:textId="77777777" w:rsidR="00860D94" w:rsidRPr="007348A1" w:rsidRDefault="00860D94" w:rsidP="00AD5E24">
            <w:pPr>
              <w:jc w:val="both"/>
              <w:rPr>
                <w:rFonts w:ascii="Arial" w:hAnsi="Arial" w:cs="Arial"/>
                <w:sz w:val="22"/>
                <w:szCs w:val="22"/>
                <w:lang w:val="en-US"/>
              </w:rPr>
            </w:pPr>
            <w:r w:rsidRPr="007348A1">
              <w:rPr>
                <w:rFonts w:ascii="Arial" w:hAnsi="Arial" w:cs="Arial"/>
                <w:sz w:val="22"/>
                <w:szCs w:val="22"/>
                <w:lang w:val="en-US"/>
              </w:rPr>
              <w:t xml:space="preserve">The purpose of the course is to provide a student with knowledge in the field of </w:t>
            </w:r>
            <w:r w:rsidR="00AD5E24" w:rsidRPr="007348A1">
              <w:rPr>
                <w:rFonts w:ascii="Arial" w:hAnsi="Arial" w:cs="Arial"/>
                <w:sz w:val="22"/>
                <w:szCs w:val="22"/>
                <w:lang w:val="en-US"/>
              </w:rPr>
              <w:t>migration and refugee law</w:t>
            </w:r>
            <w:r w:rsidRPr="007348A1">
              <w:rPr>
                <w:rFonts w:ascii="Arial" w:hAnsi="Arial" w:cs="Arial"/>
                <w:sz w:val="22"/>
                <w:szCs w:val="22"/>
                <w:lang w:val="en-US"/>
              </w:rPr>
              <w:t>.</w:t>
            </w:r>
            <w:r w:rsidR="00AD5E24" w:rsidRPr="007348A1">
              <w:rPr>
                <w:rFonts w:ascii="Arial" w:hAnsi="Arial" w:cs="Arial"/>
                <w:sz w:val="22"/>
                <w:szCs w:val="22"/>
                <w:lang w:val="en-US"/>
              </w:rPr>
              <w:t xml:space="preserve"> The emphasis of the course is on making the student aware of the interplay of the different legal systems in this area of law (EU Law, international (human rights) law, national law).</w:t>
            </w:r>
            <w:r w:rsidRPr="007348A1">
              <w:rPr>
                <w:rFonts w:ascii="Arial" w:hAnsi="Arial" w:cs="Arial"/>
                <w:sz w:val="22"/>
                <w:szCs w:val="22"/>
                <w:lang w:val="en-US"/>
              </w:rPr>
              <w:t xml:space="preserve"> </w:t>
            </w:r>
            <w:r w:rsidR="00AD5E24" w:rsidRPr="007348A1">
              <w:rPr>
                <w:rFonts w:ascii="Arial" w:hAnsi="Arial" w:cs="Arial"/>
                <w:sz w:val="22"/>
                <w:szCs w:val="22"/>
                <w:lang w:val="en-US"/>
              </w:rPr>
              <w:t>The students will obtain an understanding of the legal issues in this area that will enable them to approach practical legal problems and critically analyse them.</w:t>
            </w:r>
          </w:p>
        </w:tc>
      </w:tr>
      <w:tr w:rsidR="00860D94" w:rsidRPr="007348A1" w14:paraId="01B7920C" w14:textId="77777777" w:rsidTr="00502368">
        <w:trPr>
          <w:trHeight w:val="117"/>
        </w:trPr>
        <w:tc>
          <w:tcPr>
            <w:tcW w:w="4727" w:type="dxa"/>
            <w:gridSpan w:val="3"/>
            <w:tcBorders>
              <w:top w:val="nil"/>
              <w:left w:val="nil"/>
              <w:bottom w:val="single" w:sz="4" w:space="0" w:color="auto"/>
              <w:right w:val="nil"/>
            </w:tcBorders>
          </w:tcPr>
          <w:p w14:paraId="0ED6DFD5" w14:textId="77777777" w:rsidR="00860D94" w:rsidRPr="007348A1" w:rsidRDefault="00860D94" w:rsidP="00502368">
            <w:pPr>
              <w:rPr>
                <w:rFonts w:ascii="Arial" w:hAnsi="Arial" w:cs="Arial"/>
                <w:b/>
                <w:sz w:val="22"/>
                <w:szCs w:val="22"/>
              </w:rPr>
            </w:pPr>
          </w:p>
          <w:p w14:paraId="6455A66C" w14:textId="77777777" w:rsidR="00860D94" w:rsidRPr="007348A1" w:rsidRDefault="00860D94" w:rsidP="00502368">
            <w:pPr>
              <w:rPr>
                <w:rFonts w:ascii="Arial" w:hAnsi="Arial" w:cs="Arial"/>
                <w:b/>
                <w:sz w:val="22"/>
                <w:szCs w:val="22"/>
              </w:rPr>
            </w:pPr>
            <w:r w:rsidRPr="007348A1">
              <w:rPr>
                <w:rFonts w:ascii="Arial" w:hAnsi="Arial" w:cs="Arial"/>
                <w:b/>
                <w:sz w:val="22"/>
                <w:szCs w:val="22"/>
              </w:rPr>
              <w:t>Predvideni študijski rezultati:</w:t>
            </w:r>
          </w:p>
        </w:tc>
        <w:tc>
          <w:tcPr>
            <w:tcW w:w="142" w:type="dxa"/>
          </w:tcPr>
          <w:p w14:paraId="44DE7857" w14:textId="77777777" w:rsidR="00860D94" w:rsidRPr="007348A1" w:rsidRDefault="00860D94" w:rsidP="00502368">
            <w:pPr>
              <w:rPr>
                <w:rFonts w:ascii="Arial" w:hAnsi="Arial" w:cs="Arial"/>
                <w:b/>
                <w:sz w:val="22"/>
                <w:szCs w:val="22"/>
              </w:rPr>
            </w:pPr>
          </w:p>
          <w:p w14:paraId="25BB8C28" w14:textId="77777777" w:rsidR="00860D94" w:rsidRPr="007348A1" w:rsidRDefault="00860D94" w:rsidP="00502368">
            <w:pPr>
              <w:rPr>
                <w:rFonts w:ascii="Arial" w:hAnsi="Arial" w:cs="Arial"/>
                <w:b/>
                <w:sz w:val="22"/>
                <w:szCs w:val="22"/>
              </w:rPr>
            </w:pPr>
          </w:p>
        </w:tc>
        <w:tc>
          <w:tcPr>
            <w:tcW w:w="4821" w:type="dxa"/>
            <w:gridSpan w:val="2"/>
            <w:tcBorders>
              <w:top w:val="nil"/>
              <w:left w:val="nil"/>
              <w:bottom w:val="single" w:sz="4" w:space="0" w:color="auto"/>
              <w:right w:val="nil"/>
            </w:tcBorders>
          </w:tcPr>
          <w:p w14:paraId="26FC9940" w14:textId="77777777" w:rsidR="00860D94" w:rsidRPr="007348A1" w:rsidRDefault="00860D94" w:rsidP="00502368">
            <w:pPr>
              <w:rPr>
                <w:rFonts w:ascii="Arial" w:hAnsi="Arial" w:cs="Arial"/>
                <w:b/>
                <w:sz w:val="22"/>
                <w:szCs w:val="22"/>
              </w:rPr>
            </w:pPr>
          </w:p>
          <w:p w14:paraId="438FE100" w14:textId="77777777" w:rsidR="00860D94" w:rsidRPr="007348A1" w:rsidRDefault="00860D94" w:rsidP="00502368">
            <w:pPr>
              <w:rPr>
                <w:rFonts w:ascii="Arial" w:hAnsi="Arial" w:cs="Arial"/>
                <w:b/>
                <w:sz w:val="22"/>
                <w:szCs w:val="22"/>
              </w:rPr>
            </w:pPr>
            <w:r w:rsidRPr="007348A1">
              <w:rPr>
                <w:rFonts w:ascii="Arial" w:hAnsi="Arial" w:cs="Arial"/>
                <w:b/>
                <w:sz w:val="22"/>
                <w:szCs w:val="22"/>
              </w:rPr>
              <w:t>Intended learning outcomes:</w:t>
            </w:r>
          </w:p>
        </w:tc>
      </w:tr>
      <w:tr w:rsidR="00860D94" w:rsidRPr="007348A1" w14:paraId="2E8395E8" w14:textId="77777777" w:rsidTr="00502368">
        <w:trPr>
          <w:trHeight w:val="1417"/>
        </w:trPr>
        <w:tc>
          <w:tcPr>
            <w:tcW w:w="4727" w:type="dxa"/>
            <w:gridSpan w:val="3"/>
            <w:tcBorders>
              <w:top w:val="nil"/>
              <w:left w:val="single" w:sz="4" w:space="0" w:color="auto"/>
              <w:bottom w:val="single" w:sz="4" w:space="0" w:color="auto"/>
              <w:right w:val="single" w:sz="4" w:space="0" w:color="auto"/>
            </w:tcBorders>
          </w:tcPr>
          <w:p w14:paraId="7A6A900D" w14:textId="77777777" w:rsidR="00860D94" w:rsidRPr="007348A1" w:rsidRDefault="00F6661B" w:rsidP="00502368">
            <w:pPr>
              <w:rPr>
                <w:rFonts w:ascii="Arial" w:hAnsi="Arial" w:cs="Arial"/>
                <w:sz w:val="22"/>
                <w:szCs w:val="22"/>
              </w:rPr>
            </w:pPr>
            <w:r w:rsidRPr="007348A1">
              <w:rPr>
                <w:rFonts w:ascii="Arial" w:hAnsi="Arial" w:cs="Arial"/>
                <w:sz w:val="22"/>
                <w:szCs w:val="22"/>
              </w:rPr>
              <w:t xml:space="preserve">Študentje, ki bodo opravili ta predmet, bodo imeli specializirano znanje in razumevanje pravnih vidikov tega pravnega področja ter pregled nad temeljno sodno prakso in glavnimi zakonodajnimi rešitvami na tem področju. </w:t>
            </w:r>
          </w:p>
        </w:tc>
        <w:tc>
          <w:tcPr>
            <w:tcW w:w="142" w:type="dxa"/>
            <w:tcBorders>
              <w:top w:val="nil"/>
              <w:left w:val="single" w:sz="4" w:space="0" w:color="auto"/>
              <w:bottom w:val="nil"/>
              <w:right w:val="single" w:sz="4" w:space="0" w:color="auto"/>
            </w:tcBorders>
          </w:tcPr>
          <w:p w14:paraId="65253DAE" w14:textId="77777777" w:rsidR="00860D94" w:rsidRPr="007348A1" w:rsidRDefault="00860D94" w:rsidP="00502368">
            <w:pPr>
              <w:rPr>
                <w:rFonts w:ascii="Arial" w:hAnsi="Arial" w:cs="Arial"/>
                <w:b/>
                <w:sz w:val="22"/>
                <w:szCs w:val="22"/>
              </w:rPr>
            </w:pPr>
          </w:p>
        </w:tc>
        <w:tc>
          <w:tcPr>
            <w:tcW w:w="4821" w:type="dxa"/>
            <w:gridSpan w:val="2"/>
            <w:tcBorders>
              <w:top w:val="nil"/>
              <w:left w:val="single" w:sz="4" w:space="0" w:color="auto"/>
              <w:bottom w:val="single" w:sz="4" w:space="0" w:color="auto"/>
              <w:right w:val="single" w:sz="4" w:space="0" w:color="auto"/>
            </w:tcBorders>
          </w:tcPr>
          <w:p w14:paraId="60BC2FD3" w14:textId="77777777" w:rsidR="00860D94" w:rsidRPr="007348A1" w:rsidRDefault="00AD5E24" w:rsidP="00AD5E24">
            <w:pPr>
              <w:jc w:val="both"/>
              <w:rPr>
                <w:rFonts w:ascii="Arial" w:hAnsi="Arial" w:cs="Arial"/>
                <w:sz w:val="22"/>
                <w:szCs w:val="22"/>
              </w:rPr>
            </w:pPr>
            <w:r w:rsidRPr="007348A1">
              <w:rPr>
                <w:rFonts w:ascii="Arial" w:hAnsi="Arial" w:cs="Arial"/>
                <w:sz w:val="22"/>
                <w:szCs w:val="22"/>
                <w:lang w:val="en-US"/>
              </w:rPr>
              <w:t xml:space="preserve">The students who complete the course will have specialized knowledge and an understanding of the legal aspects of the field of migration and refugee law, an overview of fundamental case law in the area and a command of the essential legislative solutions adopted at EU level.  </w:t>
            </w:r>
          </w:p>
        </w:tc>
      </w:tr>
      <w:tr w:rsidR="00860D94" w:rsidRPr="007348A1" w14:paraId="7149650D" w14:textId="77777777" w:rsidTr="00502368">
        <w:tc>
          <w:tcPr>
            <w:tcW w:w="4727" w:type="dxa"/>
            <w:gridSpan w:val="3"/>
            <w:tcBorders>
              <w:top w:val="nil"/>
              <w:left w:val="nil"/>
              <w:bottom w:val="single" w:sz="4" w:space="0" w:color="auto"/>
              <w:right w:val="nil"/>
            </w:tcBorders>
          </w:tcPr>
          <w:p w14:paraId="091AC079" w14:textId="77777777" w:rsidR="00860D94" w:rsidRPr="007348A1" w:rsidRDefault="00860D94" w:rsidP="00502368">
            <w:pPr>
              <w:rPr>
                <w:rFonts w:ascii="Arial" w:hAnsi="Arial" w:cs="Arial"/>
                <w:b/>
                <w:sz w:val="22"/>
                <w:szCs w:val="22"/>
              </w:rPr>
            </w:pPr>
          </w:p>
          <w:p w14:paraId="6256979B" w14:textId="77777777" w:rsidR="00860D94" w:rsidRPr="007348A1" w:rsidRDefault="00860D94" w:rsidP="00502368">
            <w:pPr>
              <w:rPr>
                <w:rFonts w:ascii="Arial" w:hAnsi="Arial" w:cs="Arial"/>
                <w:b/>
                <w:sz w:val="22"/>
                <w:szCs w:val="22"/>
              </w:rPr>
            </w:pPr>
            <w:r w:rsidRPr="007348A1">
              <w:rPr>
                <w:rFonts w:ascii="Arial" w:hAnsi="Arial" w:cs="Arial"/>
                <w:b/>
                <w:sz w:val="22"/>
                <w:szCs w:val="22"/>
              </w:rPr>
              <w:t>Metode poučevanja in učenja:</w:t>
            </w:r>
          </w:p>
        </w:tc>
        <w:tc>
          <w:tcPr>
            <w:tcW w:w="142" w:type="dxa"/>
          </w:tcPr>
          <w:p w14:paraId="2F02F13F" w14:textId="77777777" w:rsidR="00860D94" w:rsidRPr="007348A1" w:rsidRDefault="00860D94" w:rsidP="00502368">
            <w:pPr>
              <w:rPr>
                <w:rFonts w:ascii="Arial" w:hAnsi="Arial" w:cs="Arial"/>
                <w:b/>
                <w:sz w:val="22"/>
                <w:szCs w:val="22"/>
              </w:rPr>
            </w:pPr>
          </w:p>
          <w:p w14:paraId="1EEDD2DC" w14:textId="77777777" w:rsidR="00860D94" w:rsidRPr="007348A1" w:rsidRDefault="00860D94" w:rsidP="00502368">
            <w:pPr>
              <w:rPr>
                <w:rFonts w:ascii="Arial" w:hAnsi="Arial" w:cs="Arial"/>
                <w:b/>
                <w:sz w:val="22"/>
                <w:szCs w:val="22"/>
              </w:rPr>
            </w:pPr>
          </w:p>
        </w:tc>
        <w:tc>
          <w:tcPr>
            <w:tcW w:w="4821" w:type="dxa"/>
            <w:gridSpan w:val="2"/>
            <w:tcBorders>
              <w:top w:val="nil"/>
              <w:left w:val="nil"/>
              <w:bottom w:val="single" w:sz="4" w:space="0" w:color="auto"/>
              <w:right w:val="nil"/>
            </w:tcBorders>
          </w:tcPr>
          <w:p w14:paraId="24BEF4A6" w14:textId="77777777" w:rsidR="00860D94" w:rsidRPr="007348A1" w:rsidRDefault="00860D94" w:rsidP="00502368">
            <w:pPr>
              <w:rPr>
                <w:rFonts w:ascii="Arial" w:hAnsi="Arial" w:cs="Arial"/>
                <w:b/>
                <w:sz w:val="22"/>
                <w:szCs w:val="22"/>
              </w:rPr>
            </w:pPr>
          </w:p>
          <w:p w14:paraId="4CBC5D05" w14:textId="77777777" w:rsidR="00860D94" w:rsidRPr="007348A1" w:rsidRDefault="00860D94" w:rsidP="00502368">
            <w:pPr>
              <w:rPr>
                <w:rFonts w:ascii="Arial" w:hAnsi="Arial" w:cs="Arial"/>
                <w:b/>
                <w:sz w:val="22"/>
                <w:szCs w:val="22"/>
              </w:rPr>
            </w:pPr>
            <w:r w:rsidRPr="007348A1">
              <w:rPr>
                <w:rFonts w:ascii="Arial" w:hAnsi="Arial" w:cs="Arial"/>
                <w:b/>
                <w:sz w:val="22"/>
                <w:szCs w:val="22"/>
              </w:rPr>
              <w:t>Learning and teaching methods:</w:t>
            </w:r>
          </w:p>
        </w:tc>
      </w:tr>
      <w:tr w:rsidR="00860D94" w:rsidRPr="007348A1" w14:paraId="676FAA6E" w14:textId="77777777" w:rsidTr="00502368">
        <w:trPr>
          <w:trHeight w:val="2023"/>
        </w:trPr>
        <w:tc>
          <w:tcPr>
            <w:tcW w:w="4727" w:type="dxa"/>
            <w:gridSpan w:val="3"/>
            <w:tcBorders>
              <w:top w:val="single" w:sz="4" w:space="0" w:color="auto"/>
              <w:left w:val="single" w:sz="4" w:space="0" w:color="auto"/>
              <w:bottom w:val="single" w:sz="4" w:space="0" w:color="auto"/>
              <w:right w:val="single" w:sz="4" w:space="0" w:color="auto"/>
            </w:tcBorders>
          </w:tcPr>
          <w:p w14:paraId="27B69491" w14:textId="77777777" w:rsidR="00860D94" w:rsidRPr="007348A1" w:rsidRDefault="00AD2E17" w:rsidP="00502368">
            <w:pPr>
              <w:rPr>
                <w:rFonts w:ascii="Arial" w:hAnsi="Arial" w:cs="Arial"/>
                <w:sz w:val="22"/>
                <w:szCs w:val="22"/>
              </w:rPr>
            </w:pPr>
            <w:r w:rsidRPr="007348A1">
              <w:rPr>
                <w:rFonts w:ascii="Arial" w:hAnsi="Arial" w:cs="Arial"/>
                <w:sz w:val="22"/>
                <w:szCs w:val="22"/>
              </w:rPr>
              <w:t>Predavanje (podajanje teoretičnih znanj, analiza zakonodaje in sodnih odločb)</w:t>
            </w:r>
          </w:p>
          <w:p w14:paraId="226E476F" w14:textId="77777777" w:rsidR="00AD2E17" w:rsidRPr="007348A1" w:rsidRDefault="00AD2E17" w:rsidP="00AD2E17">
            <w:pPr>
              <w:rPr>
                <w:rFonts w:ascii="Arial" w:hAnsi="Arial" w:cs="Arial"/>
                <w:sz w:val="22"/>
                <w:szCs w:val="22"/>
              </w:rPr>
            </w:pPr>
            <w:r w:rsidRPr="007348A1">
              <w:rPr>
                <w:rFonts w:ascii="Arial" w:hAnsi="Arial" w:cs="Arial"/>
                <w:sz w:val="22"/>
                <w:szCs w:val="22"/>
              </w:rPr>
              <w:t>Druge oblike študija (priprava predstavitve pravnega problema samostojno ali v skupini)</w:t>
            </w:r>
          </w:p>
        </w:tc>
        <w:tc>
          <w:tcPr>
            <w:tcW w:w="142" w:type="dxa"/>
            <w:tcBorders>
              <w:top w:val="nil"/>
              <w:left w:val="single" w:sz="4" w:space="0" w:color="auto"/>
              <w:bottom w:val="nil"/>
              <w:right w:val="single" w:sz="4" w:space="0" w:color="auto"/>
            </w:tcBorders>
          </w:tcPr>
          <w:p w14:paraId="7BB72F1C" w14:textId="77777777" w:rsidR="00860D94" w:rsidRPr="007348A1" w:rsidRDefault="00860D94" w:rsidP="00502368">
            <w:pPr>
              <w:rPr>
                <w:rFonts w:ascii="Arial" w:hAnsi="Arial" w:cs="Arial"/>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14:paraId="3D973172" w14:textId="77777777" w:rsidR="00860D94" w:rsidRPr="007348A1" w:rsidRDefault="00AD2E17" w:rsidP="00502368">
            <w:pPr>
              <w:rPr>
                <w:rFonts w:ascii="Arial" w:hAnsi="Arial" w:cs="Arial"/>
                <w:sz w:val="22"/>
                <w:szCs w:val="22"/>
              </w:rPr>
            </w:pPr>
            <w:r w:rsidRPr="007348A1">
              <w:rPr>
                <w:rFonts w:ascii="Arial" w:hAnsi="Arial" w:cs="Arial"/>
                <w:sz w:val="22"/>
                <w:szCs w:val="22"/>
              </w:rPr>
              <w:t>Lectures (theoretical knowledge, analysis of legislation and case law)</w:t>
            </w:r>
          </w:p>
          <w:p w14:paraId="6C50A805" w14:textId="77777777" w:rsidR="00AD2E17" w:rsidRPr="007348A1" w:rsidRDefault="00AD2E17" w:rsidP="00502368">
            <w:pPr>
              <w:rPr>
                <w:rFonts w:ascii="Arial" w:hAnsi="Arial" w:cs="Arial"/>
                <w:sz w:val="22"/>
                <w:szCs w:val="22"/>
              </w:rPr>
            </w:pPr>
            <w:r w:rsidRPr="007348A1">
              <w:rPr>
                <w:rFonts w:ascii="Arial" w:hAnsi="Arial" w:cs="Arial"/>
                <w:sz w:val="22"/>
                <w:szCs w:val="22"/>
              </w:rPr>
              <w:t>Other forms of study (the preparation of a presentation of a legal problem, individually or in small groups)</w:t>
            </w:r>
          </w:p>
          <w:p w14:paraId="6D4ABE33" w14:textId="77777777" w:rsidR="00860D94" w:rsidRPr="007348A1" w:rsidRDefault="00860D94" w:rsidP="00F6661B">
            <w:pPr>
              <w:jc w:val="both"/>
              <w:rPr>
                <w:rFonts w:ascii="Arial" w:hAnsi="Arial" w:cs="Arial"/>
                <w:sz w:val="22"/>
                <w:szCs w:val="22"/>
              </w:rPr>
            </w:pPr>
          </w:p>
        </w:tc>
      </w:tr>
      <w:tr w:rsidR="00860D94" w:rsidRPr="007348A1" w14:paraId="6B1EF035" w14:textId="77777777" w:rsidTr="00502368">
        <w:tc>
          <w:tcPr>
            <w:tcW w:w="4020" w:type="dxa"/>
            <w:tcBorders>
              <w:top w:val="nil"/>
              <w:left w:val="nil"/>
              <w:bottom w:val="single" w:sz="4" w:space="0" w:color="auto"/>
              <w:right w:val="nil"/>
            </w:tcBorders>
          </w:tcPr>
          <w:p w14:paraId="41EA1A33" w14:textId="77777777" w:rsidR="00860D94" w:rsidRPr="007348A1" w:rsidRDefault="00860D94" w:rsidP="00502368">
            <w:pPr>
              <w:rPr>
                <w:rFonts w:ascii="Arial" w:hAnsi="Arial" w:cs="Arial"/>
                <w:b/>
                <w:sz w:val="22"/>
                <w:szCs w:val="22"/>
              </w:rPr>
            </w:pPr>
          </w:p>
          <w:p w14:paraId="4CFBE101" w14:textId="77777777" w:rsidR="00860D94" w:rsidRPr="007348A1" w:rsidRDefault="00860D94" w:rsidP="00502368">
            <w:pPr>
              <w:rPr>
                <w:rFonts w:ascii="Arial" w:hAnsi="Arial" w:cs="Arial"/>
                <w:b/>
                <w:sz w:val="22"/>
                <w:szCs w:val="22"/>
              </w:rPr>
            </w:pPr>
            <w:r w:rsidRPr="007348A1">
              <w:rPr>
                <w:rFonts w:ascii="Arial" w:hAnsi="Arial" w:cs="Arial"/>
                <w:b/>
                <w:sz w:val="22"/>
                <w:szCs w:val="22"/>
              </w:rPr>
              <w:t>Načini ocenjevanja:</w:t>
            </w:r>
          </w:p>
        </w:tc>
        <w:tc>
          <w:tcPr>
            <w:tcW w:w="1560" w:type="dxa"/>
            <w:gridSpan w:val="4"/>
            <w:tcBorders>
              <w:top w:val="nil"/>
              <w:left w:val="nil"/>
              <w:bottom w:val="single" w:sz="4" w:space="0" w:color="auto"/>
              <w:right w:val="nil"/>
            </w:tcBorders>
          </w:tcPr>
          <w:p w14:paraId="75F3D254" w14:textId="77777777" w:rsidR="00860D94" w:rsidRPr="007348A1" w:rsidRDefault="00860D94" w:rsidP="00502368">
            <w:pPr>
              <w:rPr>
                <w:rFonts w:ascii="Arial" w:hAnsi="Arial" w:cs="Arial"/>
                <w:sz w:val="22"/>
                <w:szCs w:val="22"/>
              </w:rPr>
            </w:pPr>
            <w:r w:rsidRPr="007348A1">
              <w:rPr>
                <w:rFonts w:ascii="Arial" w:hAnsi="Arial" w:cs="Arial"/>
                <w:sz w:val="22"/>
                <w:szCs w:val="22"/>
              </w:rPr>
              <w:t>Delež (v %) /</w:t>
            </w:r>
          </w:p>
          <w:p w14:paraId="25D8E118" w14:textId="77777777" w:rsidR="00860D94" w:rsidRPr="007348A1" w:rsidRDefault="00860D94" w:rsidP="00502368">
            <w:pPr>
              <w:rPr>
                <w:rFonts w:ascii="Arial" w:hAnsi="Arial" w:cs="Arial"/>
                <w:b/>
                <w:sz w:val="22"/>
                <w:szCs w:val="22"/>
              </w:rPr>
            </w:pPr>
            <w:r w:rsidRPr="007348A1">
              <w:rPr>
                <w:rFonts w:ascii="Arial" w:hAnsi="Arial" w:cs="Arial"/>
                <w:sz w:val="22"/>
                <w:szCs w:val="22"/>
              </w:rPr>
              <w:t>Weight (in %)</w:t>
            </w:r>
          </w:p>
        </w:tc>
        <w:tc>
          <w:tcPr>
            <w:tcW w:w="4110" w:type="dxa"/>
            <w:tcBorders>
              <w:top w:val="nil"/>
              <w:left w:val="nil"/>
              <w:bottom w:val="single" w:sz="4" w:space="0" w:color="auto"/>
              <w:right w:val="nil"/>
            </w:tcBorders>
          </w:tcPr>
          <w:p w14:paraId="0C4023DF" w14:textId="77777777" w:rsidR="00860D94" w:rsidRPr="007348A1" w:rsidRDefault="00860D94" w:rsidP="00502368">
            <w:pPr>
              <w:rPr>
                <w:rFonts w:ascii="Arial" w:hAnsi="Arial" w:cs="Arial"/>
                <w:b/>
                <w:sz w:val="22"/>
                <w:szCs w:val="22"/>
              </w:rPr>
            </w:pPr>
          </w:p>
          <w:p w14:paraId="13ACE6CD" w14:textId="77777777" w:rsidR="00860D94" w:rsidRPr="007348A1" w:rsidRDefault="00860D94" w:rsidP="00502368">
            <w:pPr>
              <w:rPr>
                <w:rFonts w:ascii="Arial" w:hAnsi="Arial" w:cs="Arial"/>
                <w:b/>
                <w:sz w:val="22"/>
                <w:szCs w:val="22"/>
              </w:rPr>
            </w:pPr>
            <w:r w:rsidRPr="007348A1">
              <w:rPr>
                <w:rFonts w:ascii="Arial" w:hAnsi="Arial" w:cs="Arial"/>
                <w:b/>
                <w:sz w:val="22"/>
                <w:szCs w:val="22"/>
              </w:rPr>
              <w:t>Assessment:</w:t>
            </w:r>
          </w:p>
        </w:tc>
      </w:tr>
      <w:tr w:rsidR="00860D94" w:rsidRPr="007348A1" w14:paraId="79B9D299" w14:textId="77777777" w:rsidTr="00502368">
        <w:trPr>
          <w:trHeight w:val="1104"/>
        </w:trPr>
        <w:tc>
          <w:tcPr>
            <w:tcW w:w="4020" w:type="dxa"/>
            <w:tcBorders>
              <w:top w:val="single" w:sz="4" w:space="0" w:color="auto"/>
              <w:left w:val="single" w:sz="4" w:space="0" w:color="auto"/>
              <w:bottom w:val="single" w:sz="4" w:space="0" w:color="auto"/>
              <w:right w:val="single" w:sz="4" w:space="0" w:color="auto"/>
            </w:tcBorders>
          </w:tcPr>
          <w:p w14:paraId="27F7C223" w14:textId="209289FF" w:rsidR="00E34087" w:rsidRPr="007348A1" w:rsidRDefault="005368D4" w:rsidP="0062125E">
            <w:pPr>
              <w:rPr>
                <w:rFonts w:ascii="Arial" w:hAnsi="Arial" w:cs="Arial"/>
                <w:sz w:val="22"/>
                <w:szCs w:val="22"/>
              </w:rPr>
            </w:pPr>
            <w:r>
              <w:rPr>
                <w:rFonts w:ascii="Arial" w:hAnsi="Arial" w:cs="Arial"/>
                <w:sz w:val="22"/>
                <w:szCs w:val="22"/>
              </w:rPr>
              <w:t>Pisni</w:t>
            </w:r>
            <w:r w:rsidRPr="007348A1">
              <w:rPr>
                <w:rFonts w:ascii="Arial" w:hAnsi="Arial" w:cs="Arial"/>
                <w:sz w:val="22"/>
                <w:szCs w:val="22"/>
              </w:rPr>
              <w:t xml:space="preserve"> </w:t>
            </w:r>
            <w:r w:rsidR="00E34087" w:rsidRPr="007348A1">
              <w:rPr>
                <w:rFonts w:ascii="Arial" w:hAnsi="Arial" w:cs="Arial"/>
                <w:sz w:val="22"/>
                <w:szCs w:val="22"/>
              </w:rPr>
              <w:t>izpit</w:t>
            </w:r>
          </w:p>
          <w:p w14:paraId="40AC6214" w14:textId="77777777" w:rsidR="0062125E" w:rsidRPr="007348A1" w:rsidRDefault="0062125E" w:rsidP="0062125E">
            <w:pPr>
              <w:rPr>
                <w:rFonts w:ascii="Arial" w:hAnsi="Arial" w:cs="Arial"/>
                <w:sz w:val="22"/>
                <w:szCs w:val="22"/>
              </w:rPr>
            </w:pPr>
          </w:p>
          <w:p w14:paraId="5B963AFC" w14:textId="734AE79D" w:rsidR="0062125E" w:rsidRPr="007348A1" w:rsidRDefault="0062125E" w:rsidP="0062125E">
            <w:pPr>
              <w:rPr>
                <w:rFonts w:ascii="Arial" w:hAnsi="Arial" w:cs="Arial"/>
                <w:sz w:val="22"/>
                <w:szCs w:val="22"/>
              </w:rPr>
            </w:pPr>
            <w:r w:rsidRPr="007348A1">
              <w:rPr>
                <w:rFonts w:ascii="Arial" w:hAnsi="Arial" w:cs="Arial"/>
                <w:sz w:val="22"/>
                <w:szCs w:val="22"/>
              </w:rPr>
              <w:t>Izpit se oceni z ocenjevalno lestvico od 5 - 10: od 6-10 (pozitivno) oziroma 5 (negativno); ob upoštevanju Statuta UL in pravil Pravne fakultete.</w:t>
            </w:r>
          </w:p>
        </w:tc>
        <w:tc>
          <w:tcPr>
            <w:tcW w:w="1560" w:type="dxa"/>
            <w:gridSpan w:val="4"/>
            <w:tcBorders>
              <w:top w:val="single" w:sz="4" w:space="0" w:color="auto"/>
              <w:left w:val="single" w:sz="4" w:space="0" w:color="auto"/>
              <w:bottom w:val="single" w:sz="4" w:space="0" w:color="auto"/>
              <w:right w:val="single" w:sz="4" w:space="0" w:color="auto"/>
            </w:tcBorders>
            <w:vAlign w:val="bottom"/>
          </w:tcPr>
          <w:p w14:paraId="0F9DC1C6" w14:textId="77777777" w:rsidR="00860D94" w:rsidRPr="007348A1" w:rsidRDefault="0062125E" w:rsidP="00502368">
            <w:pPr>
              <w:rPr>
                <w:rFonts w:ascii="Arial" w:hAnsi="Arial" w:cs="Arial"/>
                <w:sz w:val="22"/>
                <w:szCs w:val="22"/>
              </w:rPr>
            </w:pPr>
            <w:r w:rsidRPr="007348A1">
              <w:rPr>
                <w:rFonts w:ascii="Arial" w:hAnsi="Arial" w:cs="Arial"/>
                <w:sz w:val="22"/>
                <w:szCs w:val="22"/>
              </w:rPr>
              <w:t>100%</w:t>
            </w:r>
          </w:p>
          <w:p w14:paraId="69B48ACD" w14:textId="77777777" w:rsidR="0062125E" w:rsidRPr="007348A1" w:rsidRDefault="0062125E" w:rsidP="00502368">
            <w:pPr>
              <w:rPr>
                <w:rFonts w:ascii="Arial" w:hAnsi="Arial" w:cs="Arial"/>
                <w:b/>
                <w:sz w:val="22"/>
                <w:szCs w:val="22"/>
              </w:rPr>
            </w:pPr>
          </w:p>
          <w:p w14:paraId="33DB999E" w14:textId="77777777" w:rsidR="0062125E" w:rsidRPr="007348A1" w:rsidRDefault="0062125E" w:rsidP="00502368">
            <w:pPr>
              <w:rPr>
                <w:rFonts w:ascii="Arial" w:hAnsi="Arial" w:cs="Arial"/>
                <w:b/>
                <w:sz w:val="22"/>
                <w:szCs w:val="22"/>
              </w:rPr>
            </w:pPr>
          </w:p>
          <w:p w14:paraId="0AA117D2" w14:textId="77777777" w:rsidR="0062125E" w:rsidRPr="007348A1" w:rsidRDefault="0062125E" w:rsidP="00502368">
            <w:pPr>
              <w:rPr>
                <w:rFonts w:ascii="Arial" w:hAnsi="Arial" w:cs="Arial"/>
                <w:b/>
                <w:sz w:val="22"/>
                <w:szCs w:val="22"/>
              </w:rPr>
            </w:pPr>
          </w:p>
          <w:p w14:paraId="611B8976" w14:textId="77777777" w:rsidR="0062125E" w:rsidRPr="007348A1" w:rsidRDefault="0062125E" w:rsidP="00502368">
            <w:pPr>
              <w:rPr>
                <w:rFonts w:ascii="Arial" w:hAnsi="Arial" w:cs="Arial"/>
                <w:b/>
                <w:sz w:val="22"/>
                <w:szCs w:val="22"/>
              </w:rPr>
            </w:pPr>
          </w:p>
          <w:p w14:paraId="78755A37" w14:textId="77777777" w:rsidR="0062125E" w:rsidRPr="007348A1" w:rsidRDefault="0062125E" w:rsidP="00502368">
            <w:pPr>
              <w:rPr>
                <w:rFonts w:ascii="Arial" w:hAnsi="Arial" w:cs="Arial"/>
                <w:b/>
                <w:sz w:val="22"/>
                <w:szCs w:val="22"/>
              </w:rPr>
            </w:pPr>
          </w:p>
          <w:p w14:paraId="2D61C51E" w14:textId="321F8540" w:rsidR="0062125E" w:rsidRPr="007348A1" w:rsidRDefault="0062125E" w:rsidP="00502368">
            <w:pPr>
              <w:rPr>
                <w:rFonts w:ascii="Arial" w:hAnsi="Arial" w:cs="Arial"/>
                <w:b/>
                <w:sz w:val="22"/>
                <w:szCs w:val="22"/>
              </w:rPr>
            </w:pPr>
          </w:p>
        </w:tc>
        <w:tc>
          <w:tcPr>
            <w:tcW w:w="4110" w:type="dxa"/>
            <w:tcBorders>
              <w:top w:val="single" w:sz="4" w:space="0" w:color="auto"/>
              <w:left w:val="single" w:sz="4" w:space="0" w:color="auto"/>
              <w:bottom w:val="single" w:sz="4" w:space="0" w:color="auto"/>
              <w:right w:val="single" w:sz="4" w:space="0" w:color="auto"/>
            </w:tcBorders>
          </w:tcPr>
          <w:p w14:paraId="7926DB55" w14:textId="30C4BB41" w:rsidR="00860D94" w:rsidRPr="007348A1" w:rsidRDefault="005368D4" w:rsidP="00502368">
            <w:pPr>
              <w:pStyle w:val="Default"/>
              <w:rPr>
                <w:rFonts w:ascii="Arial" w:hAnsi="Arial" w:cs="Arial"/>
                <w:bCs/>
                <w:sz w:val="22"/>
                <w:szCs w:val="22"/>
              </w:rPr>
            </w:pPr>
            <w:r>
              <w:rPr>
                <w:rFonts w:ascii="Arial" w:hAnsi="Arial" w:cs="Arial"/>
                <w:bCs/>
                <w:sz w:val="22"/>
                <w:szCs w:val="22"/>
              </w:rPr>
              <w:t>Written</w:t>
            </w:r>
            <w:r w:rsidRPr="007348A1">
              <w:rPr>
                <w:rFonts w:ascii="Arial" w:hAnsi="Arial" w:cs="Arial"/>
                <w:bCs/>
                <w:sz w:val="22"/>
                <w:szCs w:val="22"/>
              </w:rPr>
              <w:t xml:space="preserve"> </w:t>
            </w:r>
            <w:r w:rsidR="00860D94" w:rsidRPr="007348A1">
              <w:rPr>
                <w:rFonts w:ascii="Arial" w:hAnsi="Arial" w:cs="Arial"/>
                <w:bCs/>
                <w:sz w:val="22"/>
                <w:szCs w:val="22"/>
              </w:rPr>
              <w:t>examination</w:t>
            </w:r>
          </w:p>
          <w:p w14:paraId="20B4A8DC" w14:textId="77777777" w:rsidR="0062125E" w:rsidRPr="007348A1" w:rsidRDefault="0062125E" w:rsidP="00502368">
            <w:pPr>
              <w:pStyle w:val="Default"/>
              <w:rPr>
                <w:rFonts w:ascii="Arial" w:hAnsi="Arial" w:cs="Arial"/>
                <w:bCs/>
                <w:sz w:val="22"/>
                <w:szCs w:val="22"/>
              </w:rPr>
            </w:pPr>
          </w:p>
          <w:p w14:paraId="4DBED258" w14:textId="2C984C51" w:rsidR="0062125E" w:rsidRPr="007348A1" w:rsidRDefault="0062125E" w:rsidP="00502368">
            <w:pPr>
              <w:pStyle w:val="Default"/>
              <w:rPr>
                <w:rFonts w:ascii="Arial" w:hAnsi="Arial" w:cs="Arial"/>
                <w:bCs/>
                <w:sz w:val="22"/>
                <w:szCs w:val="22"/>
              </w:rPr>
            </w:pPr>
            <w:r w:rsidRPr="007348A1">
              <w:rPr>
                <w:rFonts w:ascii="Arial" w:hAnsi="Arial" w:cs="Arial"/>
                <w:sz w:val="22"/>
                <w:szCs w:val="22"/>
              </w:rPr>
              <w:t xml:space="preserve">Assessment is on the scale 5-10, where 6-10 are passing grades and 5 is a fail, as per the University Statute and the Faculty of Law Rules.  </w:t>
            </w:r>
          </w:p>
          <w:p w14:paraId="62B94C87" w14:textId="77777777" w:rsidR="00860D94" w:rsidRPr="007348A1" w:rsidRDefault="00860D94" w:rsidP="00502368">
            <w:pPr>
              <w:pStyle w:val="Default"/>
              <w:rPr>
                <w:rFonts w:ascii="Arial" w:hAnsi="Arial" w:cs="Arial"/>
                <w:b/>
                <w:sz w:val="22"/>
                <w:szCs w:val="22"/>
              </w:rPr>
            </w:pPr>
          </w:p>
        </w:tc>
      </w:tr>
      <w:tr w:rsidR="00860D94" w:rsidRPr="007348A1" w14:paraId="77693B42" w14:textId="77777777" w:rsidTr="00502368">
        <w:tc>
          <w:tcPr>
            <w:tcW w:w="9690" w:type="dxa"/>
            <w:gridSpan w:val="6"/>
            <w:tcBorders>
              <w:top w:val="single" w:sz="4" w:space="0" w:color="auto"/>
              <w:left w:val="nil"/>
              <w:bottom w:val="single" w:sz="4" w:space="0" w:color="auto"/>
              <w:right w:val="nil"/>
            </w:tcBorders>
          </w:tcPr>
          <w:p w14:paraId="68D12593" w14:textId="77777777" w:rsidR="00860D94" w:rsidRPr="007348A1" w:rsidRDefault="00860D94" w:rsidP="00502368">
            <w:pPr>
              <w:rPr>
                <w:rFonts w:ascii="Arial" w:hAnsi="Arial" w:cs="Arial"/>
                <w:b/>
                <w:sz w:val="22"/>
                <w:szCs w:val="22"/>
              </w:rPr>
            </w:pPr>
          </w:p>
          <w:p w14:paraId="3A9B6B1E" w14:textId="77777777" w:rsidR="00860D94" w:rsidRPr="007348A1" w:rsidRDefault="00860D94" w:rsidP="00502368">
            <w:pPr>
              <w:rPr>
                <w:rFonts w:ascii="Arial" w:hAnsi="Arial" w:cs="Arial"/>
                <w:b/>
                <w:sz w:val="22"/>
                <w:szCs w:val="22"/>
              </w:rPr>
            </w:pPr>
            <w:r w:rsidRPr="007348A1">
              <w:rPr>
                <w:rFonts w:ascii="Arial" w:hAnsi="Arial" w:cs="Arial"/>
                <w:b/>
                <w:sz w:val="22"/>
                <w:szCs w:val="22"/>
              </w:rPr>
              <w:t xml:space="preserve">Reference nosilca / Lecturer's references: </w:t>
            </w:r>
          </w:p>
        </w:tc>
      </w:tr>
      <w:tr w:rsidR="00860D94" w:rsidRPr="007348A1" w14:paraId="4766992B" w14:textId="77777777" w:rsidTr="00502368">
        <w:tc>
          <w:tcPr>
            <w:tcW w:w="9690" w:type="dxa"/>
            <w:gridSpan w:val="6"/>
            <w:tcBorders>
              <w:top w:val="single" w:sz="4" w:space="0" w:color="auto"/>
              <w:left w:val="single" w:sz="4" w:space="0" w:color="auto"/>
              <w:bottom w:val="single" w:sz="4" w:space="0" w:color="auto"/>
              <w:right w:val="single" w:sz="4" w:space="0" w:color="auto"/>
            </w:tcBorders>
          </w:tcPr>
          <w:p w14:paraId="1B133942" w14:textId="46AD5BB7" w:rsidR="00E34087" w:rsidRPr="007348A1" w:rsidRDefault="009E59C0" w:rsidP="00E34087">
            <w:pPr>
              <w:rPr>
                <w:rFonts w:ascii="Arial" w:hAnsi="Arial" w:cs="Arial"/>
                <w:b/>
                <w:sz w:val="22"/>
                <w:szCs w:val="22"/>
              </w:rPr>
            </w:pPr>
            <w:r>
              <w:rPr>
                <w:rFonts w:ascii="Arial" w:hAnsi="Arial" w:cs="Arial"/>
                <w:b/>
                <w:sz w:val="22"/>
                <w:szCs w:val="22"/>
              </w:rPr>
              <w:t>Izr</w:t>
            </w:r>
            <w:r w:rsidR="00E34087" w:rsidRPr="007348A1">
              <w:rPr>
                <w:rFonts w:ascii="Arial" w:hAnsi="Arial" w:cs="Arial"/>
                <w:b/>
                <w:sz w:val="22"/>
                <w:szCs w:val="22"/>
              </w:rPr>
              <w:t>.</w:t>
            </w:r>
            <w:r>
              <w:rPr>
                <w:rFonts w:ascii="Arial" w:hAnsi="Arial" w:cs="Arial"/>
                <w:b/>
                <w:sz w:val="22"/>
                <w:szCs w:val="22"/>
              </w:rPr>
              <w:t xml:space="preserve"> prof.</w:t>
            </w:r>
            <w:r w:rsidR="00E34087" w:rsidRPr="007348A1">
              <w:rPr>
                <w:rFonts w:ascii="Arial" w:hAnsi="Arial" w:cs="Arial"/>
                <w:b/>
                <w:sz w:val="22"/>
                <w:szCs w:val="22"/>
              </w:rPr>
              <w:t xml:space="preserve"> dr. Samo Bardutzky</w:t>
            </w:r>
          </w:p>
          <w:p w14:paraId="4B884A34" w14:textId="77777777" w:rsidR="00E34087" w:rsidRPr="007348A1" w:rsidRDefault="00E34087" w:rsidP="00E34087">
            <w:pPr>
              <w:shd w:val="clear" w:color="auto" w:fill="FFFFFF"/>
              <w:spacing w:line="300" w:lineRule="atLeast"/>
              <w:outlineLvl w:val="0"/>
              <w:rPr>
                <w:rFonts w:ascii="Arial" w:hAnsi="Arial" w:cs="Arial"/>
                <w:bCs/>
                <w:sz w:val="22"/>
                <w:szCs w:val="22"/>
              </w:rPr>
            </w:pPr>
            <w:r w:rsidRPr="007348A1">
              <w:rPr>
                <w:rFonts w:ascii="Arial" w:hAnsi="Arial" w:cs="Arial"/>
                <w:bCs/>
                <w:sz w:val="22"/>
                <w:szCs w:val="22"/>
              </w:rPr>
              <w:t>Albi, A. in Bardutzky, S. (ur.) National Constitutions in European and Global Governance: Democracy, Rights and the Rule of Law (TMC Asser Press, v pripravi)</w:t>
            </w:r>
          </w:p>
          <w:p w14:paraId="469393B1" w14:textId="77777777" w:rsidR="00E34087" w:rsidRPr="007348A1" w:rsidRDefault="00E34087" w:rsidP="00E34087">
            <w:pPr>
              <w:shd w:val="clear" w:color="auto" w:fill="FFFFFF"/>
              <w:spacing w:line="300" w:lineRule="atLeast"/>
              <w:outlineLvl w:val="0"/>
              <w:rPr>
                <w:rFonts w:ascii="Arial" w:hAnsi="Arial" w:cs="Arial"/>
                <w:bCs/>
                <w:sz w:val="22"/>
                <w:szCs w:val="22"/>
              </w:rPr>
            </w:pPr>
            <w:r w:rsidRPr="007348A1">
              <w:rPr>
                <w:rFonts w:ascii="Arial" w:hAnsi="Arial" w:cs="Arial"/>
                <w:bCs/>
                <w:sz w:val="22"/>
                <w:szCs w:val="22"/>
              </w:rPr>
              <w:lastRenderedPageBreak/>
              <w:t>Fahey, E. in Bardutzky, S. (ur.) Framing the Subjects and Objects of Contemporary EU Law (Edward Elgar Publishing, 2017)</w:t>
            </w:r>
          </w:p>
          <w:p w14:paraId="2695CF3C" w14:textId="77777777" w:rsidR="00E34087" w:rsidRPr="007348A1" w:rsidRDefault="00E34087" w:rsidP="00E34087">
            <w:pPr>
              <w:shd w:val="clear" w:color="auto" w:fill="FFFFFF"/>
              <w:spacing w:line="300" w:lineRule="atLeast"/>
              <w:outlineLvl w:val="0"/>
              <w:rPr>
                <w:rFonts w:ascii="Arial" w:hAnsi="Arial" w:cs="Arial"/>
                <w:bCs/>
                <w:sz w:val="22"/>
                <w:szCs w:val="22"/>
              </w:rPr>
            </w:pPr>
            <w:r w:rsidRPr="007348A1">
              <w:rPr>
                <w:rFonts w:ascii="Arial" w:hAnsi="Arial" w:cs="Arial"/>
                <w:bCs/>
                <w:sz w:val="22"/>
                <w:szCs w:val="22"/>
              </w:rPr>
              <w:t>Bardutzky, S. Constitutional Transformations at the Edge of a Bail-Out: The Impact of the Economic Crisis on the Legal and Institutional Structures in Slovenia. federalismi.it - Rivista di diritto pubblico italiano, comunitario e comparato 26/2016</w:t>
            </w:r>
          </w:p>
          <w:p w14:paraId="5C3BF3C8" w14:textId="77777777" w:rsidR="00E34087" w:rsidRPr="007348A1" w:rsidRDefault="00E34087" w:rsidP="00E34087">
            <w:pPr>
              <w:shd w:val="clear" w:color="auto" w:fill="FFFFFF"/>
              <w:spacing w:line="300" w:lineRule="atLeast"/>
              <w:outlineLvl w:val="0"/>
              <w:rPr>
                <w:rFonts w:ascii="Arial" w:hAnsi="Arial" w:cs="Arial"/>
                <w:bCs/>
                <w:sz w:val="22"/>
                <w:szCs w:val="22"/>
              </w:rPr>
            </w:pPr>
            <w:r w:rsidRPr="007348A1">
              <w:rPr>
                <w:rFonts w:ascii="Arial" w:hAnsi="Arial" w:cs="Arial"/>
                <w:bCs/>
                <w:sz w:val="22"/>
                <w:szCs w:val="22"/>
              </w:rPr>
              <w:t>Fahey, E. in Bardutzky, S. Who Got to Adjudicate the EU's Financial Crisis and Why? Judicial Review of the Instruments of a Postnational Legal Order: Adjudicating the Practices of the Eurozone. V:  Adams, M., Fabbrini, F. in Pierre Larouche, P. (ur.) The Constitutionalization of European Budgetary Constraints (Hart Publishing, 2014)</w:t>
            </w:r>
          </w:p>
          <w:p w14:paraId="03042856" w14:textId="77777777" w:rsidR="00E34087" w:rsidRPr="007348A1" w:rsidRDefault="00E34087" w:rsidP="00502368">
            <w:pPr>
              <w:rPr>
                <w:rFonts w:ascii="Arial" w:hAnsi="Arial" w:cs="Arial"/>
                <w:sz w:val="22"/>
                <w:szCs w:val="22"/>
              </w:rPr>
            </w:pPr>
          </w:p>
          <w:p w14:paraId="518C1534" w14:textId="77777777" w:rsidR="00E34087" w:rsidRPr="007348A1" w:rsidRDefault="00E34087" w:rsidP="00502368">
            <w:pPr>
              <w:rPr>
                <w:rFonts w:ascii="Arial" w:hAnsi="Arial" w:cs="Arial"/>
                <w:sz w:val="22"/>
                <w:szCs w:val="22"/>
              </w:rPr>
            </w:pPr>
          </w:p>
          <w:p w14:paraId="06163AF2" w14:textId="45B4F4C7" w:rsidR="00860D94" w:rsidRPr="007348A1" w:rsidRDefault="009E59C0" w:rsidP="00502368">
            <w:pPr>
              <w:rPr>
                <w:rFonts w:ascii="Arial" w:hAnsi="Arial" w:cs="Arial"/>
                <w:b/>
                <w:sz w:val="22"/>
                <w:szCs w:val="22"/>
              </w:rPr>
            </w:pPr>
            <w:r>
              <w:rPr>
                <w:rFonts w:ascii="Arial" w:hAnsi="Arial" w:cs="Arial"/>
                <w:b/>
                <w:sz w:val="22"/>
                <w:szCs w:val="22"/>
              </w:rPr>
              <w:t>P</w:t>
            </w:r>
            <w:r w:rsidR="00860D94" w:rsidRPr="007348A1">
              <w:rPr>
                <w:rFonts w:ascii="Arial" w:hAnsi="Arial" w:cs="Arial"/>
                <w:b/>
                <w:sz w:val="22"/>
                <w:szCs w:val="22"/>
              </w:rPr>
              <w:t>rof. dr. Saša Zagorc</w:t>
            </w:r>
          </w:p>
          <w:p w14:paraId="1DE0123C" w14:textId="77777777" w:rsidR="00860D94" w:rsidRPr="007348A1" w:rsidRDefault="00860D94" w:rsidP="00502368">
            <w:pPr>
              <w:rPr>
                <w:rFonts w:ascii="Arial" w:hAnsi="Arial" w:cs="Arial"/>
                <w:color w:val="000000"/>
                <w:sz w:val="22"/>
                <w:szCs w:val="22"/>
              </w:rPr>
            </w:pPr>
            <w:r w:rsidRPr="007348A1">
              <w:rPr>
                <w:rFonts w:ascii="Arial" w:hAnsi="Arial" w:cs="Arial"/>
                <w:color w:val="000000"/>
                <w:sz w:val="22"/>
                <w:szCs w:val="22"/>
              </w:rPr>
              <w:t>1. ZAGORC, Saša, BARDUTZKY, Samo. The application of EU law in Slovenia : teething troubles of the blue-eyed boy. V: ŁAZOWSKI, Adam (ur.).</w:t>
            </w:r>
            <w:r w:rsidRPr="007348A1">
              <w:rPr>
                <w:rStyle w:val="apple-converted-space"/>
                <w:rFonts w:ascii="Arial" w:hAnsi="Arial" w:cs="Arial"/>
                <w:color w:val="000000"/>
                <w:sz w:val="22"/>
                <w:szCs w:val="22"/>
              </w:rPr>
              <w:t> </w:t>
            </w:r>
            <w:r w:rsidRPr="007348A1">
              <w:rPr>
                <w:rFonts w:ascii="Arial" w:hAnsi="Arial" w:cs="Arial"/>
                <w:i/>
                <w:iCs/>
                <w:color w:val="000000"/>
                <w:sz w:val="22"/>
                <w:szCs w:val="22"/>
              </w:rPr>
              <w:t>The application of EU law in the new member states : "Brave New World"</w:t>
            </w:r>
            <w:r w:rsidRPr="007348A1">
              <w:rPr>
                <w:rFonts w:ascii="Arial" w:hAnsi="Arial" w:cs="Arial"/>
                <w:color w:val="000000"/>
                <w:sz w:val="22"/>
                <w:szCs w:val="22"/>
              </w:rPr>
              <w:t>. The Hague: T.M.C. Asser Press, 2010, str. 421-452.</w:t>
            </w:r>
          </w:p>
          <w:p w14:paraId="382843BE" w14:textId="77777777" w:rsidR="00AD5E24" w:rsidRPr="007348A1" w:rsidRDefault="00AD5E24" w:rsidP="00AD5E24">
            <w:pPr>
              <w:rPr>
                <w:rFonts w:ascii="Arial" w:hAnsi="Arial" w:cs="Arial"/>
                <w:sz w:val="22"/>
                <w:szCs w:val="22"/>
              </w:rPr>
            </w:pPr>
            <w:r w:rsidRPr="007348A1">
              <w:rPr>
                <w:rFonts w:ascii="Arial" w:hAnsi="Arial" w:cs="Arial"/>
                <w:bCs/>
                <w:sz w:val="22"/>
                <w:szCs w:val="22"/>
              </w:rPr>
              <w:t>2. Franc Grad, Igor Kaučič, Saša Zagorc, Ustavno pravo, Ljubljana 2016.</w:t>
            </w:r>
          </w:p>
          <w:p w14:paraId="7BBB8F7C" w14:textId="77777777" w:rsidR="00AD5E24" w:rsidRPr="007348A1" w:rsidRDefault="00AD5E24" w:rsidP="00AD5E24">
            <w:pPr>
              <w:rPr>
                <w:rFonts w:ascii="Arial" w:hAnsi="Arial" w:cs="Arial"/>
                <w:sz w:val="22"/>
                <w:szCs w:val="22"/>
              </w:rPr>
            </w:pPr>
            <w:r w:rsidRPr="007348A1">
              <w:rPr>
                <w:rFonts w:ascii="Arial" w:hAnsi="Arial" w:cs="Arial"/>
                <w:sz w:val="22"/>
                <w:szCs w:val="22"/>
              </w:rPr>
              <w:t>BALODE-BURAKA, Esmeralda, BARDUTZKY, Samo, ZAGORC, Saša, et al., DÖRR, Oliver (urednik). Staatshaftung in Europa : Nationales und Unionsrecht. Berlin; Boston: De Gruyter. 2014.</w:t>
            </w:r>
          </w:p>
          <w:p w14:paraId="657C827A" w14:textId="77777777" w:rsidR="00860D94" w:rsidRPr="007348A1" w:rsidRDefault="00860D94" w:rsidP="00502368">
            <w:pPr>
              <w:rPr>
                <w:rFonts w:ascii="Arial" w:hAnsi="Arial" w:cs="Arial"/>
                <w:color w:val="000000"/>
                <w:sz w:val="22"/>
                <w:szCs w:val="22"/>
              </w:rPr>
            </w:pPr>
          </w:p>
          <w:p w14:paraId="74A67B07" w14:textId="77777777" w:rsidR="00AD5E24" w:rsidRPr="007348A1" w:rsidRDefault="00AD5E24" w:rsidP="00502368">
            <w:pPr>
              <w:rPr>
                <w:rFonts w:ascii="Arial" w:hAnsi="Arial" w:cs="Arial"/>
                <w:sz w:val="22"/>
                <w:szCs w:val="22"/>
              </w:rPr>
            </w:pPr>
          </w:p>
          <w:p w14:paraId="31CAAD49" w14:textId="77777777" w:rsidR="00860D94" w:rsidRPr="007348A1" w:rsidRDefault="00860D94" w:rsidP="00502368">
            <w:pPr>
              <w:rPr>
                <w:rFonts w:ascii="Arial" w:hAnsi="Arial" w:cs="Arial"/>
                <w:sz w:val="22"/>
                <w:szCs w:val="22"/>
              </w:rPr>
            </w:pPr>
          </w:p>
        </w:tc>
      </w:tr>
    </w:tbl>
    <w:p w14:paraId="460EE3AF" w14:textId="77777777" w:rsidR="00860D94" w:rsidRPr="007348A1" w:rsidRDefault="00860D94">
      <w:pPr>
        <w:rPr>
          <w:rFonts w:ascii="Arial" w:hAnsi="Arial" w:cs="Arial"/>
          <w:sz w:val="22"/>
          <w:szCs w:val="22"/>
        </w:rPr>
      </w:pPr>
    </w:p>
    <w:sectPr w:rsidR="00860D94" w:rsidRPr="007348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C9E"/>
    <w:multiLevelType w:val="hybridMultilevel"/>
    <w:tmpl w:val="AA0292D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2897F4E"/>
    <w:multiLevelType w:val="hybridMultilevel"/>
    <w:tmpl w:val="03C8673C"/>
    <w:lvl w:ilvl="0" w:tplc="321A75C2">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20FF5"/>
    <w:multiLevelType w:val="hybridMultilevel"/>
    <w:tmpl w:val="AA0292D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58822E3"/>
    <w:multiLevelType w:val="multilevel"/>
    <w:tmpl w:val="23D4E90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4EE43D98"/>
    <w:multiLevelType w:val="hybridMultilevel"/>
    <w:tmpl w:val="E32A539E"/>
    <w:lvl w:ilvl="0" w:tplc="3AE60B0A">
      <w:numFmt w:val="bullet"/>
      <w:pStyle w:val="literatura"/>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51BA1FBF"/>
    <w:multiLevelType w:val="multilevel"/>
    <w:tmpl w:val="23D4E90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5B785776"/>
    <w:multiLevelType w:val="multilevel"/>
    <w:tmpl w:val="4EE40AB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BC01EE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7C2640"/>
    <w:multiLevelType w:val="multilevel"/>
    <w:tmpl w:val="4EE40AB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6BEF016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9B17B9"/>
    <w:multiLevelType w:val="hybridMultilevel"/>
    <w:tmpl w:val="8B26C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931F1"/>
    <w:multiLevelType w:val="hybridMultilevel"/>
    <w:tmpl w:val="FE743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0"/>
  </w:num>
  <w:num w:numId="9">
    <w:abstractNumId w:val="11"/>
  </w:num>
  <w:num w:numId="10">
    <w:abstractNumId w:val="10"/>
  </w:num>
  <w:num w:numId="11">
    <w:abstractNumId w:val="6"/>
  </w:num>
  <w:num w:numId="12">
    <w:abstractNumId w:val="1"/>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16"/>
    <w:rsid w:val="00045C16"/>
    <w:rsid w:val="00053E0C"/>
    <w:rsid w:val="00142C84"/>
    <w:rsid w:val="001523B5"/>
    <w:rsid w:val="00190800"/>
    <w:rsid w:val="00190D2D"/>
    <w:rsid w:val="002A1CAE"/>
    <w:rsid w:val="00354BAB"/>
    <w:rsid w:val="00490645"/>
    <w:rsid w:val="004A1034"/>
    <w:rsid w:val="00512F5B"/>
    <w:rsid w:val="005368D4"/>
    <w:rsid w:val="005A54D0"/>
    <w:rsid w:val="0062125E"/>
    <w:rsid w:val="00674A30"/>
    <w:rsid w:val="007348A1"/>
    <w:rsid w:val="007A38A1"/>
    <w:rsid w:val="00860D94"/>
    <w:rsid w:val="00884D29"/>
    <w:rsid w:val="008E4C03"/>
    <w:rsid w:val="008F10C3"/>
    <w:rsid w:val="009D5183"/>
    <w:rsid w:val="009E59C0"/>
    <w:rsid w:val="00AA5CB8"/>
    <w:rsid w:val="00AD2E17"/>
    <w:rsid w:val="00AD5E24"/>
    <w:rsid w:val="00AE4BFD"/>
    <w:rsid w:val="00B62126"/>
    <w:rsid w:val="00BF13ED"/>
    <w:rsid w:val="00E34087"/>
    <w:rsid w:val="00EA1C61"/>
    <w:rsid w:val="00EB71E1"/>
    <w:rsid w:val="00F6661B"/>
    <w:rsid w:val="00FC74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133E"/>
  <w15:chartTrackingRefBased/>
  <w15:docId w15:val="{8A8A300D-5D61-470F-BDBF-489C9D5D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5C16"/>
    <w:pPr>
      <w:spacing w:after="0" w:line="240" w:lineRule="auto"/>
    </w:pPr>
    <w:rPr>
      <w:rFonts w:ascii="Calibri" w:eastAsia="Calibri" w:hAnsi="Calibri"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5C16"/>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literatura">
    <w:name w:val="literatura"/>
    <w:basedOn w:val="Navaden"/>
    <w:rsid w:val="00860D94"/>
    <w:pPr>
      <w:numPr>
        <w:numId w:val="5"/>
      </w:numPr>
      <w:tabs>
        <w:tab w:val="left" w:pos="284"/>
      </w:tabs>
      <w:ind w:left="568" w:hanging="284"/>
      <w:jc w:val="both"/>
    </w:pPr>
    <w:rPr>
      <w:rFonts w:ascii="Times New Roman" w:eastAsia="Times New Roman" w:hAnsi="Times New Roman"/>
      <w:sz w:val="22"/>
      <w:szCs w:val="20"/>
    </w:rPr>
  </w:style>
  <w:style w:type="paragraph" w:customStyle="1" w:styleId="Default">
    <w:name w:val="Default"/>
    <w:rsid w:val="00860D9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pple-converted-space">
    <w:name w:val="apple-converted-space"/>
    <w:basedOn w:val="Privzetapisavaodstavka"/>
    <w:rsid w:val="00860D94"/>
  </w:style>
  <w:style w:type="paragraph" w:styleId="Besedilooblaka">
    <w:name w:val="Balloon Text"/>
    <w:basedOn w:val="Navaden"/>
    <w:link w:val="BesedilooblakaZnak"/>
    <w:uiPriority w:val="99"/>
    <w:semiHidden/>
    <w:unhideWhenUsed/>
    <w:rsid w:val="00AA5CB8"/>
    <w:rPr>
      <w:rFonts w:ascii="Times New Roman" w:hAnsi="Times New Roman"/>
      <w:sz w:val="18"/>
      <w:szCs w:val="18"/>
    </w:rPr>
  </w:style>
  <w:style w:type="character" w:customStyle="1" w:styleId="BesedilooblakaZnak">
    <w:name w:val="Besedilo oblačka Znak"/>
    <w:basedOn w:val="Privzetapisavaodstavka"/>
    <w:link w:val="Besedilooblaka"/>
    <w:uiPriority w:val="99"/>
    <w:semiHidden/>
    <w:rsid w:val="00AA5CB8"/>
    <w:rPr>
      <w:rFonts w:ascii="Times New Roman" w:eastAsia="Calibri" w:hAnsi="Times New Roman" w:cs="Times New Roman"/>
      <w:sz w:val="18"/>
      <w:szCs w:val="18"/>
      <w:lang w:eastAsia="sl-SI"/>
    </w:rPr>
  </w:style>
  <w:style w:type="paragraph" w:styleId="Revizija">
    <w:name w:val="Revision"/>
    <w:hidden/>
    <w:uiPriority w:val="99"/>
    <w:semiHidden/>
    <w:rsid w:val="00354BAB"/>
    <w:pPr>
      <w:spacing w:after="0" w:line="240" w:lineRule="auto"/>
    </w:pPr>
    <w:rPr>
      <w:rFonts w:ascii="Calibri" w:eastAsia="Calibri" w:hAnsi="Calibri"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32430">
      <w:bodyDiv w:val="1"/>
      <w:marLeft w:val="0"/>
      <w:marRight w:val="0"/>
      <w:marTop w:val="0"/>
      <w:marBottom w:val="0"/>
      <w:divBdr>
        <w:top w:val="none" w:sz="0" w:space="0" w:color="auto"/>
        <w:left w:val="none" w:sz="0" w:space="0" w:color="auto"/>
        <w:bottom w:val="none" w:sz="0" w:space="0" w:color="auto"/>
        <w:right w:val="none" w:sz="0" w:space="0" w:color="auto"/>
      </w:divBdr>
    </w:div>
    <w:div w:id="172171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6919</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 Bardutzky</dc:creator>
  <cp:keywords/>
  <dc:description/>
  <cp:lastModifiedBy>Marentič, Maja</cp:lastModifiedBy>
  <cp:revision>2</cp:revision>
  <dcterms:created xsi:type="dcterms:W3CDTF">2024-05-24T09:04:00Z</dcterms:created>
  <dcterms:modified xsi:type="dcterms:W3CDTF">2024-05-24T09:04:00Z</dcterms:modified>
</cp:coreProperties>
</file>