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1A98" w14:textId="77777777" w:rsidR="00DC3EF9" w:rsidRPr="005A3092" w:rsidRDefault="00DC3EF9" w:rsidP="00DC3EF9">
      <w:pPr>
        <w:rPr>
          <w:rFonts w:cs="Calibri"/>
          <w:szCs w:val="22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DC3EF9" w:rsidRPr="005A3092" w14:paraId="1DCFCBD7" w14:textId="77777777" w:rsidTr="000D6572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093F58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UČNI NAČRT PREDMETA / COURSE SYLLABUS</w:t>
            </w:r>
          </w:p>
        </w:tc>
      </w:tr>
      <w:tr w:rsidR="00DC3EF9" w:rsidRPr="005A3092" w14:paraId="13B1BA6E" w14:textId="77777777" w:rsidTr="000D6572">
        <w:tc>
          <w:tcPr>
            <w:tcW w:w="1799" w:type="dxa"/>
            <w:gridSpan w:val="3"/>
          </w:tcPr>
          <w:p w14:paraId="47CBCBC6" w14:textId="77777777" w:rsidR="00DC3EF9" w:rsidRPr="005A3092" w:rsidRDefault="00DC3EF9" w:rsidP="004F23CE">
            <w:pPr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Predmet: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E82" w14:textId="77777777" w:rsidR="00DC3EF9" w:rsidRPr="008A3444" w:rsidRDefault="00D504B3" w:rsidP="004F23CE">
            <w:pPr>
              <w:rPr>
                <w:rFonts w:cs="Calibri"/>
              </w:rPr>
            </w:pPr>
            <w:bookmarkStart w:id="0" w:name="Predmet"/>
            <w:bookmarkEnd w:id="0"/>
            <w:r>
              <w:rPr>
                <w:rFonts w:cs="Calibri"/>
              </w:rPr>
              <w:t>P</w:t>
            </w:r>
            <w:r w:rsidR="00500A35" w:rsidRPr="008A3444">
              <w:rPr>
                <w:rFonts w:cs="Calibri"/>
              </w:rPr>
              <w:t>ravo varstva pred diskriminacijo</w:t>
            </w:r>
          </w:p>
        </w:tc>
      </w:tr>
      <w:tr w:rsidR="00DC3EF9" w:rsidRPr="005A3092" w14:paraId="756A147F" w14:textId="77777777" w:rsidTr="000D6572">
        <w:tc>
          <w:tcPr>
            <w:tcW w:w="1799" w:type="dxa"/>
            <w:gridSpan w:val="3"/>
          </w:tcPr>
          <w:p w14:paraId="2449C256" w14:textId="77777777" w:rsidR="00DC3EF9" w:rsidRPr="000F5D25" w:rsidRDefault="00DC3EF9" w:rsidP="004F23CE">
            <w:pPr>
              <w:rPr>
                <w:rFonts w:cs="Calibri"/>
                <w:b/>
                <w:lang w:val="en-GB"/>
              </w:rPr>
            </w:pPr>
            <w:r w:rsidRPr="000F5D25">
              <w:rPr>
                <w:rFonts w:cs="Calibri"/>
                <w:b/>
                <w:szCs w:val="22"/>
                <w:lang w:val="en-GB"/>
              </w:rPr>
              <w:t>Course title: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5CF" w14:textId="77777777" w:rsidR="00DC3EF9" w:rsidRPr="000F5D25" w:rsidRDefault="006473C3" w:rsidP="00D504B3">
            <w:pPr>
              <w:spacing w:line="288" w:lineRule="auto"/>
              <w:rPr>
                <w:rFonts w:eastAsia="Times New Roman"/>
                <w:bCs/>
                <w:color w:val="000000"/>
                <w:lang w:val="en-GB"/>
              </w:rPr>
            </w:pPr>
            <w:bookmarkStart w:id="1" w:name="APredmet"/>
            <w:bookmarkEnd w:id="1"/>
            <w:r>
              <w:rPr>
                <w:rFonts w:eastAsia="Times New Roman"/>
                <w:bCs/>
                <w:color w:val="000000"/>
                <w:lang w:val="en-GB"/>
              </w:rPr>
              <w:t>Anti-discrimination law</w:t>
            </w:r>
          </w:p>
        </w:tc>
      </w:tr>
      <w:tr w:rsidR="00DC3EF9" w:rsidRPr="005A3092" w14:paraId="4523F2EE" w14:textId="77777777" w:rsidTr="000D6572">
        <w:tc>
          <w:tcPr>
            <w:tcW w:w="3307" w:type="dxa"/>
            <w:gridSpan w:val="5"/>
            <w:vAlign w:val="center"/>
          </w:tcPr>
          <w:p w14:paraId="01A1453A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22E96391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E9D6C91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85AF98A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</w:p>
        </w:tc>
      </w:tr>
      <w:tr w:rsidR="00DC3EF9" w:rsidRPr="005A3092" w14:paraId="144AAA8E" w14:textId="77777777" w:rsidTr="000D6572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B7F76" w14:textId="77777777" w:rsidR="00DC3EF9" w:rsidRPr="003008AD" w:rsidRDefault="00DC3EF9" w:rsidP="004F23CE">
            <w:pPr>
              <w:jc w:val="center"/>
              <w:rPr>
                <w:rFonts w:cs="Calibri"/>
                <w:b/>
              </w:rPr>
            </w:pPr>
            <w:r w:rsidRPr="003008AD">
              <w:rPr>
                <w:rFonts w:cs="Calibri"/>
                <w:b/>
                <w:szCs w:val="22"/>
              </w:rPr>
              <w:t>Študijski program in stopnja</w:t>
            </w:r>
          </w:p>
          <w:p w14:paraId="12C59408" w14:textId="77777777" w:rsidR="00DC3EF9" w:rsidRPr="000F5D25" w:rsidRDefault="00DC3EF9" w:rsidP="004F23CE">
            <w:pPr>
              <w:jc w:val="center"/>
              <w:rPr>
                <w:rFonts w:cs="Calibri"/>
                <w:lang w:val="en-GB"/>
              </w:rPr>
            </w:pPr>
            <w:r w:rsidRPr="000F5D25">
              <w:rPr>
                <w:rFonts w:cs="Calibri"/>
                <w:b/>
                <w:szCs w:val="22"/>
                <w:lang w:val="en-GB"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CB94B" w14:textId="77777777" w:rsidR="00DC3EF9" w:rsidRPr="003008AD" w:rsidRDefault="00DC3EF9" w:rsidP="004F23CE">
            <w:pPr>
              <w:jc w:val="center"/>
              <w:rPr>
                <w:rFonts w:cs="Calibri"/>
                <w:b/>
              </w:rPr>
            </w:pPr>
            <w:r w:rsidRPr="003008AD">
              <w:rPr>
                <w:rFonts w:cs="Calibri"/>
                <w:b/>
                <w:szCs w:val="22"/>
              </w:rPr>
              <w:t>Študijska smer</w:t>
            </w:r>
          </w:p>
          <w:p w14:paraId="08ED498B" w14:textId="77777777" w:rsidR="00DC3EF9" w:rsidRPr="000F5D25" w:rsidRDefault="00DC3EF9" w:rsidP="004F23CE">
            <w:pPr>
              <w:jc w:val="center"/>
              <w:rPr>
                <w:rFonts w:cs="Calibri"/>
                <w:b/>
                <w:lang w:val="en-GB"/>
              </w:rPr>
            </w:pPr>
            <w:r w:rsidRPr="000F5D25">
              <w:rPr>
                <w:rFonts w:cs="Calibri"/>
                <w:b/>
                <w:szCs w:val="22"/>
                <w:lang w:val="en-GB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AFE10" w14:textId="77777777" w:rsidR="00DC3EF9" w:rsidRPr="003008AD" w:rsidRDefault="00DC3EF9" w:rsidP="004F23CE">
            <w:pPr>
              <w:jc w:val="center"/>
              <w:rPr>
                <w:rFonts w:cs="Calibri"/>
                <w:b/>
              </w:rPr>
            </w:pPr>
            <w:r w:rsidRPr="003008AD">
              <w:rPr>
                <w:rFonts w:cs="Calibri"/>
                <w:b/>
                <w:szCs w:val="22"/>
              </w:rPr>
              <w:t>Letnik</w:t>
            </w:r>
          </w:p>
          <w:p w14:paraId="166177DE" w14:textId="77777777" w:rsidR="00DC3EF9" w:rsidRPr="003008AD" w:rsidRDefault="00DC3EF9" w:rsidP="004F23CE">
            <w:pPr>
              <w:jc w:val="center"/>
              <w:rPr>
                <w:rFonts w:cs="Calibri"/>
                <w:b/>
              </w:rPr>
            </w:pPr>
            <w:r w:rsidRPr="000F5D25">
              <w:rPr>
                <w:rFonts w:cs="Calibri"/>
                <w:b/>
                <w:szCs w:val="22"/>
                <w:lang w:val="en-GB"/>
              </w:rPr>
              <w:t>Academic yea</w:t>
            </w:r>
            <w:r w:rsidRPr="003008AD">
              <w:rPr>
                <w:rFonts w:cs="Calibri"/>
                <w:b/>
                <w:szCs w:val="22"/>
              </w:rPr>
              <w:t>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04123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Semester</w:t>
            </w:r>
          </w:p>
          <w:p w14:paraId="200FAC1D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Semester</w:t>
            </w:r>
          </w:p>
        </w:tc>
      </w:tr>
      <w:tr w:rsidR="000D6572" w:rsidRPr="005A3092" w14:paraId="776E8FA6" w14:textId="77777777" w:rsidTr="000D6572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125" w14:textId="3F269800" w:rsidR="000D6572" w:rsidRPr="00E16895" w:rsidRDefault="000D6572" w:rsidP="000D657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DE337D">
              <w:t>Enoviti magistrski študijski program Pravo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DD3" w14:textId="53B589B7" w:rsidR="000D6572" w:rsidRPr="00E16895" w:rsidRDefault="000D6572" w:rsidP="000D657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DE337D">
              <w:t>/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923" w14:textId="6A983147" w:rsidR="000D6572" w:rsidRPr="00E16895" w:rsidRDefault="000D6572" w:rsidP="000D6572">
            <w:pPr>
              <w:jc w:val="center"/>
              <w:rPr>
                <w:rFonts w:cs="Calibri"/>
                <w:bCs/>
                <w:sz w:val="22"/>
                <w:szCs w:val="22"/>
                <w:highlight w:val="red"/>
              </w:rPr>
            </w:pPr>
            <w:r w:rsidRPr="00DE337D">
              <w:t>2., 3.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341" w14:textId="0DFDA279" w:rsidR="000D6572" w:rsidRPr="00E16895" w:rsidRDefault="000D6572" w:rsidP="000D657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DE337D">
              <w:t>4., 6.</w:t>
            </w:r>
          </w:p>
        </w:tc>
      </w:tr>
      <w:tr w:rsidR="000D6572" w:rsidRPr="005A3092" w14:paraId="7327D54D" w14:textId="77777777" w:rsidTr="000D6572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7BE" w14:textId="564EAFBB" w:rsidR="000D6572" w:rsidRPr="0069483D" w:rsidRDefault="000D6572" w:rsidP="000D6572">
            <w:pPr>
              <w:jc w:val="center"/>
              <w:rPr>
                <w:rFonts w:cs="Calibri"/>
                <w:bCs/>
                <w:lang w:val="en-GB"/>
              </w:rPr>
            </w:pPr>
            <w:r w:rsidRPr="00DE337D">
              <w:t>Integrated master study programme Law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A85B" w14:textId="23B8867B" w:rsidR="000D6572" w:rsidRPr="006462AB" w:rsidRDefault="000D6572" w:rsidP="000D6572">
            <w:pPr>
              <w:jc w:val="center"/>
              <w:rPr>
                <w:rFonts w:cs="Calibri"/>
                <w:bCs/>
                <w:lang w:val="en-GB"/>
              </w:rPr>
            </w:pPr>
            <w:r w:rsidRPr="00DE337D">
              <w:t>/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6DB" w14:textId="790BE596" w:rsidR="000D6572" w:rsidRPr="0069483D" w:rsidRDefault="000D6572" w:rsidP="000D6572">
            <w:pPr>
              <w:jc w:val="center"/>
              <w:rPr>
                <w:rFonts w:cs="Calibri"/>
                <w:bCs/>
              </w:rPr>
            </w:pPr>
            <w:r w:rsidRPr="00DE337D">
              <w:t xml:space="preserve">2nd, 3rd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116" w14:textId="5873A194" w:rsidR="000D6572" w:rsidRPr="0069483D" w:rsidRDefault="000D6572" w:rsidP="000D6572">
            <w:pPr>
              <w:jc w:val="center"/>
              <w:rPr>
                <w:rFonts w:cs="Calibri"/>
                <w:bCs/>
              </w:rPr>
            </w:pPr>
            <w:r w:rsidRPr="00DE337D">
              <w:t xml:space="preserve">4th, 6th </w:t>
            </w:r>
          </w:p>
        </w:tc>
      </w:tr>
      <w:tr w:rsidR="00DC3EF9" w:rsidRPr="005A3092" w14:paraId="53BEFD94" w14:textId="77777777" w:rsidTr="000D6572">
        <w:trPr>
          <w:trHeight w:val="103"/>
        </w:trPr>
        <w:tc>
          <w:tcPr>
            <w:tcW w:w="9690" w:type="dxa"/>
            <w:gridSpan w:val="18"/>
          </w:tcPr>
          <w:p w14:paraId="5A2EE2C8" w14:textId="77777777" w:rsidR="00DC3EF9" w:rsidRPr="005A3092" w:rsidRDefault="00DC3EF9" w:rsidP="004F23CE">
            <w:pPr>
              <w:rPr>
                <w:rFonts w:cs="Calibri"/>
                <w:b/>
                <w:bCs/>
              </w:rPr>
            </w:pPr>
          </w:p>
        </w:tc>
      </w:tr>
      <w:tr w:rsidR="00DC3EF9" w:rsidRPr="005A3092" w14:paraId="724F804F" w14:textId="77777777" w:rsidTr="000D6572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2F852" w14:textId="77777777" w:rsidR="00DC3EF9" w:rsidRPr="005A3092" w:rsidRDefault="00DC3EF9" w:rsidP="004F23CE">
            <w:pPr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Vrsta predmeta / Course type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EA9" w14:textId="1FC2126B" w:rsidR="00DC3EF9" w:rsidRPr="00592C81" w:rsidRDefault="00FE0405" w:rsidP="00706730">
            <w:pPr>
              <w:rPr>
                <w:rFonts w:cs="Calibri"/>
                <w:sz w:val="22"/>
                <w:szCs w:val="22"/>
              </w:rPr>
            </w:pPr>
            <w:r w:rsidRPr="00592C81">
              <w:rPr>
                <w:rFonts w:cs="Calibri"/>
                <w:sz w:val="22"/>
                <w:szCs w:val="22"/>
              </w:rPr>
              <w:t>Izbirni</w:t>
            </w:r>
            <w:r w:rsidR="009B2F8D" w:rsidRPr="00592C81">
              <w:rPr>
                <w:rFonts w:cs="Calibri"/>
                <w:sz w:val="22"/>
                <w:szCs w:val="22"/>
              </w:rPr>
              <w:t xml:space="preserve"> </w:t>
            </w:r>
            <w:r w:rsidRPr="00592C81">
              <w:rPr>
                <w:rFonts w:cs="Calibri"/>
                <w:sz w:val="22"/>
                <w:szCs w:val="22"/>
              </w:rPr>
              <w:t>predmet</w:t>
            </w:r>
            <w:r w:rsidR="008D004A">
              <w:rPr>
                <w:rFonts w:cs="Calibri"/>
                <w:sz w:val="22"/>
                <w:szCs w:val="22"/>
              </w:rPr>
              <w:t xml:space="preserve"> / </w:t>
            </w:r>
            <w:r w:rsidR="008D004A" w:rsidRPr="008D004A">
              <w:rPr>
                <w:rFonts w:cs="Calibri"/>
                <w:sz w:val="22"/>
                <w:szCs w:val="22"/>
                <w:lang w:val="en-GB"/>
              </w:rPr>
              <w:t>Elective course</w:t>
            </w:r>
          </w:p>
        </w:tc>
      </w:tr>
      <w:tr w:rsidR="00DC3EF9" w:rsidRPr="005A3092" w14:paraId="2A1853D0" w14:textId="77777777" w:rsidTr="000D6572">
        <w:tc>
          <w:tcPr>
            <w:tcW w:w="5718" w:type="dxa"/>
            <w:gridSpan w:val="12"/>
          </w:tcPr>
          <w:p w14:paraId="6EFA4B83" w14:textId="77777777" w:rsidR="00DC3EF9" w:rsidRPr="005A3092" w:rsidRDefault="00DC3EF9" w:rsidP="004F23CE">
            <w:pPr>
              <w:rPr>
                <w:rFonts w:cs="Calibri"/>
                <w:b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FC153" w14:textId="77777777" w:rsidR="00DC3EF9" w:rsidRPr="005A3092" w:rsidRDefault="00DC3EF9" w:rsidP="004F23CE">
            <w:pPr>
              <w:rPr>
                <w:rFonts w:cs="Calibri"/>
              </w:rPr>
            </w:pPr>
          </w:p>
        </w:tc>
      </w:tr>
      <w:tr w:rsidR="00DC3EF9" w:rsidRPr="005A3092" w14:paraId="38277AA8" w14:textId="77777777" w:rsidTr="000D6572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4110F" w14:textId="77777777" w:rsidR="00DC3EF9" w:rsidRPr="005A3092" w:rsidRDefault="00DC3EF9" w:rsidP="004F23CE">
            <w:pPr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0C4B" w14:textId="77777777" w:rsidR="00DC3EF9" w:rsidRPr="005A3092" w:rsidRDefault="00DC3EF9" w:rsidP="001270C0">
            <w:pPr>
              <w:rPr>
                <w:rFonts w:cs="Calibri"/>
              </w:rPr>
            </w:pPr>
          </w:p>
        </w:tc>
      </w:tr>
      <w:tr w:rsidR="00DC3EF9" w:rsidRPr="005A3092" w14:paraId="5D6C4645" w14:textId="77777777" w:rsidTr="000D6572">
        <w:tc>
          <w:tcPr>
            <w:tcW w:w="9690" w:type="dxa"/>
            <w:gridSpan w:val="18"/>
          </w:tcPr>
          <w:p w14:paraId="5D994EAE" w14:textId="77777777" w:rsidR="00DC3EF9" w:rsidRPr="005A3092" w:rsidRDefault="00DC3EF9" w:rsidP="004F23CE">
            <w:pPr>
              <w:rPr>
                <w:rFonts w:cs="Calibri"/>
              </w:rPr>
            </w:pPr>
          </w:p>
        </w:tc>
      </w:tr>
      <w:tr w:rsidR="00DC3EF9" w:rsidRPr="005A3092" w14:paraId="6FF46D7C" w14:textId="77777777" w:rsidTr="000D6572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0B5D6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Predavanja</w:t>
            </w:r>
          </w:p>
          <w:p w14:paraId="6ADC9461" w14:textId="77777777" w:rsidR="00DC3EF9" w:rsidRPr="005A3092" w:rsidRDefault="00DC3EF9" w:rsidP="004F23CE">
            <w:pPr>
              <w:jc w:val="center"/>
              <w:rPr>
                <w:rFonts w:cs="Calibri"/>
              </w:rPr>
            </w:pPr>
            <w:r w:rsidRPr="005A3092">
              <w:rPr>
                <w:rFonts w:cs="Calibri"/>
                <w:b/>
                <w:szCs w:val="22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52B93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Seminar</w:t>
            </w:r>
          </w:p>
          <w:p w14:paraId="31D57441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9B0E3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Cs w:val="22"/>
              </w:rPr>
              <w:t>V</w:t>
            </w:r>
            <w:r w:rsidRPr="005A3092">
              <w:rPr>
                <w:rFonts w:cs="Calibri"/>
                <w:b/>
                <w:szCs w:val="22"/>
              </w:rPr>
              <w:t>aje</w:t>
            </w:r>
          </w:p>
          <w:p w14:paraId="0E63D50D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10C5F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Cs w:val="22"/>
              </w:rPr>
              <w:t>Klinične</w:t>
            </w:r>
            <w:r w:rsidRPr="005A3092">
              <w:rPr>
                <w:rFonts w:cs="Calibri"/>
                <w:b/>
                <w:szCs w:val="22"/>
              </w:rPr>
              <w:t xml:space="preserve"> vaje</w:t>
            </w:r>
          </w:p>
          <w:p w14:paraId="08745848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B655F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Cs w:val="22"/>
              </w:rPr>
              <w:t>Druge oblike študija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CD597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Samost. delo</w:t>
            </w:r>
          </w:p>
          <w:p w14:paraId="763AC0DE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4705FBA2" w14:textId="77777777" w:rsidR="00DC3EF9" w:rsidRPr="005A3092" w:rsidRDefault="00DC3EF9" w:rsidP="004F23CE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360C6" w14:textId="77777777" w:rsidR="00DC3EF9" w:rsidRPr="005A3092" w:rsidRDefault="00DC3EF9" w:rsidP="004F23CE">
            <w:pPr>
              <w:jc w:val="center"/>
              <w:rPr>
                <w:rFonts w:cs="Calibri"/>
                <w:b/>
              </w:rPr>
            </w:pPr>
            <w:r w:rsidRPr="003008AD">
              <w:rPr>
                <w:rFonts w:cs="Calibri"/>
                <w:b/>
                <w:szCs w:val="22"/>
              </w:rPr>
              <w:t>ECTS</w:t>
            </w:r>
          </w:p>
        </w:tc>
      </w:tr>
      <w:tr w:rsidR="00DC3EF9" w:rsidRPr="005A3092" w14:paraId="3D96EFC2" w14:textId="77777777" w:rsidTr="000D6572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AEC" w14:textId="6190BB18" w:rsidR="00DC3EF9" w:rsidRPr="002C482F" w:rsidRDefault="002269AA" w:rsidP="004F23C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45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05D" w14:textId="3287DBFA" w:rsidR="00DC3EF9" w:rsidRPr="002C482F" w:rsidRDefault="00EB3AB1" w:rsidP="00B9343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/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534" w14:textId="210EC690" w:rsidR="00DC3EF9" w:rsidRPr="002C482F" w:rsidRDefault="00EB3AB1" w:rsidP="004F23C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86E" w14:textId="7809C866" w:rsidR="00DC3EF9" w:rsidRPr="002C482F" w:rsidRDefault="002269AA" w:rsidP="004F23C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3F3" w14:textId="55AC1831" w:rsidR="00DC3EF9" w:rsidRPr="002C482F" w:rsidRDefault="002269AA" w:rsidP="004F23C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FC4" w14:textId="2A9AEA1F" w:rsidR="00DC3EF9" w:rsidRPr="002C482F" w:rsidRDefault="002269AA" w:rsidP="004F23C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9278D" w14:textId="77777777" w:rsidR="00DC3EF9" w:rsidRPr="002C482F" w:rsidRDefault="00DC3EF9" w:rsidP="004F23CE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32A7" w14:textId="77777777" w:rsidR="00DC3EF9" w:rsidRPr="002C482F" w:rsidRDefault="00B9343D" w:rsidP="004F23CE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</w:tr>
      <w:tr w:rsidR="00DC3EF9" w:rsidRPr="005A3092" w14:paraId="4CFA1BFA" w14:textId="77777777" w:rsidTr="000D6572">
        <w:tc>
          <w:tcPr>
            <w:tcW w:w="9690" w:type="dxa"/>
            <w:gridSpan w:val="18"/>
          </w:tcPr>
          <w:p w14:paraId="6278BD11" w14:textId="77777777" w:rsidR="00DC3EF9" w:rsidRPr="005A3092" w:rsidRDefault="00DC3EF9" w:rsidP="004F23CE">
            <w:pPr>
              <w:rPr>
                <w:rFonts w:cs="Calibri"/>
                <w:b/>
                <w:bCs/>
              </w:rPr>
            </w:pPr>
          </w:p>
        </w:tc>
      </w:tr>
      <w:tr w:rsidR="00DC3EF9" w:rsidRPr="005A3092" w14:paraId="7DA8D9C1" w14:textId="77777777" w:rsidTr="000D6572">
        <w:tc>
          <w:tcPr>
            <w:tcW w:w="3307" w:type="dxa"/>
            <w:gridSpan w:val="5"/>
          </w:tcPr>
          <w:p w14:paraId="321027C1" w14:textId="77777777" w:rsidR="00DC3EF9" w:rsidRPr="005A3092" w:rsidRDefault="00DC3EF9" w:rsidP="004F23CE">
            <w:pPr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Nosilec predmeta / Lecturer: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A1A" w14:textId="58923059" w:rsidR="00DC3EF9" w:rsidRPr="00592C81" w:rsidRDefault="00A07AD0" w:rsidP="004F23CE">
            <w:pPr>
              <w:rPr>
                <w:rFonts w:cs="Calibri"/>
                <w:sz w:val="22"/>
                <w:szCs w:val="22"/>
              </w:rPr>
            </w:pPr>
            <w:bookmarkStart w:id="2" w:name="Predavatelj"/>
            <w:bookmarkEnd w:id="2"/>
            <w:r>
              <w:rPr>
                <w:rFonts w:cs="Calibri"/>
                <w:sz w:val="22"/>
                <w:szCs w:val="22"/>
              </w:rPr>
              <w:t>izr</w:t>
            </w:r>
            <w:r w:rsidR="0045196C" w:rsidRPr="00592C81">
              <w:rPr>
                <w:rFonts w:cs="Calibri"/>
                <w:sz w:val="22"/>
                <w:szCs w:val="22"/>
              </w:rPr>
              <w:t>.</w:t>
            </w:r>
            <w:r>
              <w:rPr>
                <w:rFonts w:cs="Calibri"/>
                <w:sz w:val="22"/>
                <w:szCs w:val="22"/>
              </w:rPr>
              <w:t xml:space="preserve"> prof.</w:t>
            </w:r>
            <w:r w:rsidR="00BF5B6C" w:rsidRPr="00592C81">
              <w:rPr>
                <w:rFonts w:cs="Calibri"/>
                <w:sz w:val="22"/>
                <w:szCs w:val="22"/>
              </w:rPr>
              <w:t xml:space="preserve"> dr. Tilen Štajnpihler</w:t>
            </w:r>
            <w:r w:rsidR="00666262" w:rsidRPr="00592C81">
              <w:rPr>
                <w:rFonts w:cs="Calibri"/>
                <w:sz w:val="22"/>
                <w:szCs w:val="22"/>
              </w:rPr>
              <w:t xml:space="preserve"> Božič</w:t>
            </w:r>
          </w:p>
        </w:tc>
      </w:tr>
      <w:tr w:rsidR="00DC3EF9" w:rsidRPr="005A3092" w14:paraId="69B60285" w14:textId="77777777" w:rsidTr="000D6572">
        <w:tc>
          <w:tcPr>
            <w:tcW w:w="9690" w:type="dxa"/>
            <w:gridSpan w:val="18"/>
          </w:tcPr>
          <w:p w14:paraId="51B6B7CD" w14:textId="77777777" w:rsidR="00DC3EF9" w:rsidRPr="005A3092" w:rsidRDefault="00DC3EF9" w:rsidP="004F23CE">
            <w:pPr>
              <w:jc w:val="both"/>
              <w:rPr>
                <w:rFonts w:cs="Calibri"/>
              </w:rPr>
            </w:pPr>
          </w:p>
        </w:tc>
      </w:tr>
      <w:tr w:rsidR="00DC3EF9" w:rsidRPr="005A3092" w14:paraId="0F87659E" w14:textId="77777777" w:rsidTr="000D6572">
        <w:tc>
          <w:tcPr>
            <w:tcW w:w="1641" w:type="dxa"/>
            <w:gridSpan w:val="2"/>
            <w:vMerge w:val="restart"/>
          </w:tcPr>
          <w:p w14:paraId="068B9A5C" w14:textId="77777777" w:rsidR="00DC3EF9" w:rsidRPr="005A3092" w:rsidRDefault="00DC3EF9" w:rsidP="004F23CE">
            <w:pPr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 xml:space="preserve">Jeziki / </w:t>
            </w:r>
          </w:p>
          <w:p w14:paraId="34AD806F" w14:textId="77777777" w:rsidR="00DC3EF9" w:rsidRPr="005A3092" w:rsidRDefault="00DC3EF9" w:rsidP="004F23CE">
            <w:pPr>
              <w:rPr>
                <w:rFonts w:cs="Calibri"/>
              </w:rPr>
            </w:pPr>
            <w:r w:rsidRPr="005A3092">
              <w:rPr>
                <w:rFonts w:cs="Calibri"/>
                <w:b/>
                <w:szCs w:val="22"/>
              </w:rPr>
              <w:t>Languages:</w:t>
            </w:r>
          </w:p>
        </w:tc>
        <w:tc>
          <w:tcPr>
            <w:tcW w:w="2241" w:type="dxa"/>
            <w:gridSpan w:val="4"/>
          </w:tcPr>
          <w:p w14:paraId="7F24E0F6" w14:textId="77777777" w:rsidR="00DC3EF9" w:rsidRPr="005A3092" w:rsidRDefault="00DC3EF9" w:rsidP="004F23CE">
            <w:pPr>
              <w:jc w:val="right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7E0" w14:textId="7E85369C" w:rsidR="00DC3EF9" w:rsidRPr="00592C81" w:rsidRDefault="00592C81" w:rsidP="00592C81">
            <w:pPr>
              <w:jc w:val="both"/>
              <w:rPr>
                <w:rFonts w:cs="Calibri"/>
                <w:bCs/>
                <w:sz w:val="22"/>
                <w:szCs w:val="22"/>
              </w:rPr>
            </w:pPr>
            <w:bookmarkStart w:id="3" w:name="Jezik"/>
            <w:bookmarkEnd w:id="3"/>
            <w:r>
              <w:rPr>
                <w:rFonts w:cs="Calibri"/>
                <w:bCs/>
                <w:sz w:val="22"/>
                <w:szCs w:val="22"/>
              </w:rPr>
              <w:t>Slovenski</w:t>
            </w:r>
            <w:r w:rsidR="002C3EB8" w:rsidRPr="00592C81">
              <w:rPr>
                <w:rFonts w:cs="Calibri"/>
                <w:bCs/>
                <w:sz w:val="22"/>
                <w:szCs w:val="22"/>
              </w:rPr>
              <w:t xml:space="preserve"> </w:t>
            </w:r>
            <w:r w:rsidR="00F0692D">
              <w:rPr>
                <w:rFonts w:cs="Calibri"/>
                <w:bCs/>
                <w:sz w:val="22"/>
                <w:szCs w:val="22"/>
              </w:rPr>
              <w:t>/ Slovenian</w:t>
            </w:r>
          </w:p>
        </w:tc>
      </w:tr>
      <w:tr w:rsidR="00DC3EF9" w:rsidRPr="005A3092" w14:paraId="1D5827A7" w14:textId="77777777" w:rsidTr="000D6572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58521EB0" w14:textId="77777777" w:rsidR="00DC3EF9" w:rsidRPr="005A3092" w:rsidRDefault="00DC3EF9" w:rsidP="004F23CE">
            <w:pPr>
              <w:rPr>
                <w:rFonts w:cs="Calibri"/>
                <w:b/>
                <w:bCs/>
              </w:rPr>
            </w:pPr>
          </w:p>
        </w:tc>
        <w:tc>
          <w:tcPr>
            <w:tcW w:w="2241" w:type="dxa"/>
            <w:gridSpan w:val="4"/>
          </w:tcPr>
          <w:p w14:paraId="617019EE" w14:textId="77777777" w:rsidR="00DC3EF9" w:rsidRPr="005A3092" w:rsidRDefault="00DC3EF9" w:rsidP="004F23CE">
            <w:pPr>
              <w:jc w:val="right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10E" w14:textId="77777777" w:rsidR="00DC3EF9" w:rsidRPr="00592C81" w:rsidRDefault="00DC3EF9" w:rsidP="004F23CE">
            <w:pPr>
              <w:jc w:val="both"/>
              <w:rPr>
                <w:rFonts w:cs="Calibri"/>
                <w:bCs/>
                <w:sz w:val="22"/>
                <w:szCs w:val="22"/>
              </w:rPr>
            </w:pPr>
            <w:bookmarkStart w:id="4" w:name="JezikV"/>
            <w:bookmarkEnd w:id="4"/>
          </w:p>
        </w:tc>
      </w:tr>
      <w:tr w:rsidR="00DC3EF9" w:rsidRPr="005A3092" w14:paraId="57D71DA7" w14:textId="77777777" w:rsidTr="000D6572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5E2AB" w14:textId="77777777" w:rsidR="00DC3EF9" w:rsidRPr="005A3092" w:rsidRDefault="00DC3EF9" w:rsidP="004F23CE">
            <w:pPr>
              <w:rPr>
                <w:rFonts w:cs="Calibri"/>
                <w:b/>
                <w:bCs/>
              </w:rPr>
            </w:pPr>
          </w:p>
          <w:p w14:paraId="4905B261" w14:textId="77777777" w:rsidR="00DC3EF9" w:rsidRPr="005A3092" w:rsidRDefault="00DC3EF9" w:rsidP="00CC1E2B">
            <w:pPr>
              <w:spacing w:after="120"/>
              <w:rPr>
                <w:rFonts w:cs="Calibri"/>
                <w:b/>
              </w:rPr>
            </w:pPr>
            <w:r w:rsidRPr="005A3092">
              <w:rPr>
                <w:rFonts w:cs="Calibri"/>
                <w:b/>
                <w:szCs w:val="22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7A992188" w14:textId="77777777" w:rsidR="00DC3EF9" w:rsidRPr="005A3092" w:rsidRDefault="00DC3EF9" w:rsidP="004F23CE">
            <w:pPr>
              <w:rPr>
                <w:rFonts w:cs="Calibri"/>
                <w:b/>
              </w:rPr>
            </w:pPr>
          </w:p>
          <w:p w14:paraId="5FA846A1" w14:textId="77777777" w:rsidR="00DC3EF9" w:rsidRPr="005A3092" w:rsidRDefault="00DC3EF9" w:rsidP="004F23CE">
            <w:pPr>
              <w:rPr>
                <w:rFonts w:cs="Calibri"/>
                <w:b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A81CD" w14:textId="77777777" w:rsidR="00DC3EF9" w:rsidRPr="00DF2E73" w:rsidRDefault="00DC3EF9" w:rsidP="004F23CE">
            <w:pPr>
              <w:rPr>
                <w:rFonts w:cs="Calibri"/>
                <w:b/>
              </w:rPr>
            </w:pPr>
          </w:p>
          <w:p w14:paraId="09428438" w14:textId="77777777" w:rsidR="00DC3EF9" w:rsidRPr="002C3EB8" w:rsidRDefault="00DC3EF9" w:rsidP="004F23CE">
            <w:pPr>
              <w:rPr>
                <w:rFonts w:cs="Calibri"/>
                <w:b/>
                <w:lang w:val="en-GB"/>
              </w:rPr>
            </w:pPr>
            <w:r w:rsidRPr="002C3EB8">
              <w:rPr>
                <w:rFonts w:cs="Calibri"/>
                <w:b/>
                <w:szCs w:val="22"/>
                <w:lang w:val="en-GB"/>
              </w:rPr>
              <w:t>Prerequisites:</w:t>
            </w:r>
          </w:p>
        </w:tc>
      </w:tr>
      <w:tr w:rsidR="00DC3EF9" w:rsidRPr="00624D9A" w14:paraId="19718CD7" w14:textId="77777777" w:rsidTr="000D6572">
        <w:trPr>
          <w:trHeight w:val="1254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6A2E" w14:textId="7282602F" w:rsidR="00C621B3" w:rsidRPr="00C37F67" w:rsidRDefault="00060F95" w:rsidP="007802E8">
            <w:pPr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</w:t>
            </w:r>
            <w:r w:rsidR="00F6738E">
              <w:rPr>
                <w:rFonts w:cs="Calibri"/>
                <w:sz w:val="22"/>
                <w:szCs w:val="22"/>
              </w:rPr>
              <w:t>snovna</w:t>
            </w:r>
            <w:r w:rsidR="00AE543B" w:rsidRPr="00C37F67">
              <w:rPr>
                <w:rFonts w:cs="Calibri"/>
                <w:sz w:val="22"/>
                <w:szCs w:val="22"/>
              </w:rPr>
              <w:t xml:space="preserve"> </w:t>
            </w:r>
            <w:r w:rsidR="00CC1E2B" w:rsidRPr="00C37F67">
              <w:rPr>
                <w:rFonts w:cs="Calibri"/>
                <w:sz w:val="22"/>
                <w:szCs w:val="22"/>
              </w:rPr>
              <w:t>znanj</w:t>
            </w:r>
            <w:r w:rsidR="00AE543B" w:rsidRPr="00C37F67">
              <w:rPr>
                <w:rFonts w:cs="Calibri"/>
                <w:sz w:val="22"/>
                <w:szCs w:val="22"/>
              </w:rPr>
              <w:t>a</w:t>
            </w:r>
            <w:r w:rsidR="00CC1E2B" w:rsidRPr="00C37F67">
              <w:rPr>
                <w:rFonts w:cs="Calibri"/>
                <w:sz w:val="22"/>
                <w:szCs w:val="22"/>
              </w:rPr>
              <w:t xml:space="preserve"> s področja </w:t>
            </w:r>
            <w:r w:rsidR="00D57475" w:rsidRPr="00C37F67">
              <w:rPr>
                <w:rFonts w:cs="Calibri"/>
                <w:sz w:val="22"/>
                <w:szCs w:val="22"/>
              </w:rPr>
              <w:t>pravoznanstva, sociologije prava, ustavnega prava.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B50BD" w14:textId="77777777" w:rsidR="00DC3EF9" w:rsidRPr="00C37F67" w:rsidRDefault="00DC3EF9" w:rsidP="00624D9A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709" w14:textId="0EB0F133" w:rsidR="00725B94" w:rsidRPr="0058323A" w:rsidRDefault="00060F95" w:rsidP="00CC1E2B">
            <w:pPr>
              <w:spacing w:before="120" w:after="120"/>
              <w:jc w:val="both"/>
              <w:rPr>
                <w:rFonts w:cs="Calibri"/>
                <w:sz w:val="22"/>
                <w:szCs w:val="22"/>
                <w:lang w:val="en-GB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t>B</w:t>
            </w:r>
            <w:r w:rsidR="0058323A" w:rsidRPr="0058323A">
              <w:rPr>
                <w:rFonts w:cs="Calibri"/>
                <w:sz w:val="22"/>
                <w:szCs w:val="22"/>
                <w:lang w:val="en-GB"/>
              </w:rPr>
              <w:t>asic knowledge of jurisprudence, sociology of law, constitutional law.</w:t>
            </w:r>
          </w:p>
        </w:tc>
      </w:tr>
      <w:tr w:rsidR="00DC3EF9" w:rsidRPr="00624D9A" w14:paraId="362E22A2" w14:textId="77777777" w:rsidTr="000D6572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4D30C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  <w:p w14:paraId="69913D03" w14:textId="77777777" w:rsidR="00DC3EF9" w:rsidRPr="00624D9A" w:rsidRDefault="00DC3EF9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Vsebina:</w:t>
            </w:r>
            <w:r w:rsidRPr="00624D9A">
              <w:rPr>
                <w:rFonts w:cs="Calibr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03DE8B23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C7889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  <w:p w14:paraId="26F8E9CD" w14:textId="77777777" w:rsidR="00DC3EF9" w:rsidRPr="00AE543B" w:rsidRDefault="00DC3EF9" w:rsidP="00624D9A">
            <w:pPr>
              <w:jc w:val="both"/>
              <w:rPr>
                <w:rFonts w:cs="Calibri"/>
                <w:b/>
                <w:lang w:val="en-GB"/>
              </w:rPr>
            </w:pPr>
            <w:r w:rsidRPr="00AE543B">
              <w:rPr>
                <w:rFonts w:cs="Calibri"/>
                <w:b/>
                <w:lang w:val="en-GB"/>
              </w:rPr>
              <w:t>Content (Syllabus outline):</w:t>
            </w:r>
          </w:p>
        </w:tc>
      </w:tr>
      <w:tr w:rsidR="00DC3EF9" w:rsidRPr="00624D9A" w14:paraId="4D11D75D" w14:textId="77777777" w:rsidTr="000D6572">
        <w:trPr>
          <w:trHeight w:val="1133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D6E" w14:textId="77777777" w:rsidR="00C37F67" w:rsidRPr="00C37F67" w:rsidRDefault="00C37F67" w:rsidP="00CC4997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Umestitev prava varstva pred diskriminacijo na presečišču različnih pravnih področij oz. disciplin</w:t>
            </w:r>
          </w:p>
          <w:p w14:paraId="6FB9E0DC" w14:textId="442C3E0F" w:rsidR="00C37F67" w:rsidRPr="00C37F67" w:rsidRDefault="00C37F67" w:rsidP="00CC4997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Vrednotn</w:t>
            </w:r>
            <w:r w:rsidR="007E554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127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izhodišča </w:t>
            </w:r>
            <w:r w:rsidR="007E554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prava </w:t>
            </w: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varstva pred diskriminacijo</w:t>
            </w:r>
            <w:r w:rsidR="003C127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enakost in druge vrednote</w:t>
            </w:r>
          </w:p>
          <w:p w14:paraId="48F45833" w14:textId="77777777" w:rsidR="00C37F67" w:rsidRPr="00C37F67" w:rsidRDefault="00C37F67" w:rsidP="00CC4997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60E8752A" w14:textId="77777777" w:rsidR="00C37F67" w:rsidRPr="00C37F67" w:rsidRDefault="00C37F67" w:rsidP="00CC4997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19E5F832" w14:textId="77777777" w:rsidR="00C37F67" w:rsidRPr="00C37F67" w:rsidRDefault="00C37F67" w:rsidP="00CC4997">
            <w:pPr>
              <w:pStyle w:val="Odstavekseznama"/>
              <w:numPr>
                <w:ilvl w:val="0"/>
                <w:numId w:val="3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Pomen družbenega konteksta za razumevanje pravnega odziva na problem diskriminacije </w:t>
            </w:r>
          </w:p>
          <w:p w14:paraId="266F4D8A" w14:textId="77777777" w:rsidR="00C37F67" w:rsidRPr="00C37F67" w:rsidRDefault="00C37F67" w:rsidP="00CC4997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Viri prava varstva pred diskriminacijo </w:t>
            </w:r>
          </w:p>
          <w:p w14:paraId="16FE6387" w14:textId="77777777" w:rsidR="00C37F67" w:rsidRPr="00C37F67" w:rsidRDefault="00C37F67" w:rsidP="00CC4997">
            <w:pPr>
              <w:pStyle w:val="Odstavekseznama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383CF4F4" w14:textId="77777777" w:rsidR="00C37F67" w:rsidRPr="00C37F67" w:rsidRDefault="00C37F67" w:rsidP="00CC4997">
            <w:pPr>
              <w:pStyle w:val="Odstavekseznama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158E165A" w14:textId="77777777" w:rsidR="000C47B9" w:rsidRPr="000C47B9" w:rsidRDefault="000C47B9" w:rsidP="00CC4997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06FC28C8" w14:textId="77777777" w:rsidR="000C47B9" w:rsidRPr="000C47B9" w:rsidRDefault="000C47B9" w:rsidP="00CC4997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37E0327A" w14:textId="77777777" w:rsidR="00C37F67" w:rsidRPr="00C37F67" w:rsidRDefault="00C37F67" w:rsidP="00CC4997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Pomen osebnih okoliščin za pravo varstva pred diskriminacijo</w:t>
            </w:r>
          </w:p>
          <w:p w14:paraId="2EFD3F6C" w14:textId="77777777" w:rsidR="000C47B9" w:rsidRPr="000C47B9" w:rsidRDefault="000C47B9" w:rsidP="00CC4997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4476E88D" w14:textId="77777777" w:rsidR="000C47B9" w:rsidRPr="000C47B9" w:rsidRDefault="000C47B9" w:rsidP="00CC4997">
            <w:pPr>
              <w:pStyle w:val="Odstavekseznama"/>
              <w:numPr>
                <w:ilvl w:val="0"/>
                <w:numId w:val="7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25BD7DEF" w14:textId="77777777" w:rsidR="00C37F67" w:rsidRPr="00C37F67" w:rsidRDefault="00C37F67" w:rsidP="00CC4997">
            <w:pPr>
              <w:pStyle w:val="Odstavekseznama"/>
              <w:numPr>
                <w:ilvl w:val="1"/>
                <w:numId w:val="7"/>
              </w:numPr>
              <w:ind w:left="85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Različni pristopi k določanju varovanih osebnih okoliščin</w:t>
            </w:r>
          </w:p>
          <w:p w14:paraId="7194F670" w14:textId="77777777" w:rsidR="00C37F67" w:rsidRPr="00C37F67" w:rsidRDefault="00C37F67" w:rsidP="00CC4997">
            <w:pPr>
              <w:pStyle w:val="Odstavekseznama"/>
              <w:numPr>
                <w:ilvl w:val="1"/>
                <w:numId w:val="7"/>
              </w:numPr>
              <w:ind w:left="85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Razvoj konceptov večplastne in presečne diskriminacije </w:t>
            </w:r>
          </w:p>
          <w:p w14:paraId="7ABF24DD" w14:textId="77777777" w:rsidR="00C37F67" w:rsidRPr="00C37F67" w:rsidRDefault="00C37F67" w:rsidP="00CC4997">
            <w:pPr>
              <w:pStyle w:val="Odstavekseznama"/>
              <w:numPr>
                <w:ilvl w:val="1"/>
                <w:numId w:val="7"/>
              </w:numPr>
              <w:ind w:left="85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Osebne okoliščine v slovenskem pravnem redu</w:t>
            </w:r>
          </w:p>
          <w:p w14:paraId="11F62DFF" w14:textId="525BE9AA" w:rsidR="00C37F67" w:rsidRPr="00076FAF" w:rsidRDefault="00076FAF" w:rsidP="008C7BA6">
            <w:pPr>
              <w:pStyle w:val="Odstavekseznama"/>
              <w:numPr>
                <w:ilvl w:val="0"/>
                <w:numId w:val="7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76F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Področje</w:t>
            </w:r>
            <w:r w:rsidR="00C37F67" w:rsidRPr="00076F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uporabe prava varstva pred diskriminacijo</w:t>
            </w:r>
          </w:p>
          <w:p w14:paraId="2C4F3EEB" w14:textId="77777777" w:rsidR="00C37F67" w:rsidRPr="00C37F67" w:rsidRDefault="00C37F67" w:rsidP="00CC4997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772D8872" w14:textId="77777777" w:rsidR="00C37F67" w:rsidRPr="00C37F67" w:rsidRDefault="00C37F67" w:rsidP="00CC4997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28D87DC5" w14:textId="77777777" w:rsidR="00C37F67" w:rsidRPr="00C37F67" w:rsidRDefault="00C37F67" w:rsidP="00CC4997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145DA7E4" w14:textId="77777777" w:rsidR="000C47B9" w:rsidRPr="000C47B9" w:rsidRDefault="000C47B9" w:rsidP="00CC4997">
            <w:pPr>
              <w:pStyle w:val="Odstavekseznama"/>
              <w:numPr>
                <w:ilvl w:val="0"/>
                <w:numId w:val="9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67FE8794" w14:textId="77777777" w:rsidR="000C47B9" w:rsidRPr="000C47B9" w:rsidRDefault="000C47B9" w:rsidP="00CC4997">
            <w:pPr>
              <w:pStyle w:val="Odstavekseznama"/>
              <w:numPr>
                <w:ilvl w:val="0"/>
                <w:numId w:val="9"/>
              </w:numPr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78AD6FF6" w14:textId="43242097" w:rsidR="00C37F67" w:rsidRPr="00055DC8" w:rsidRDefault="00055DC8" w:rsidP="00055DC8">
            <w:pPr>
              <w:pStyle w:val="Odstavekseznama"/>
              <w:numPr>
                <w:ilvl w:val="0"/>
                <w:numId w:val="9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Op</w:t>
            </w:r>
            <w:r w:rsidR="00C37F67" w:rsidRPr="00055D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redeljevanje prepovedanega ravnanja: oblike diskriminacije </w:t>
            </w:r>
          </w:p>
          <w:p w14:paraId="30AD373D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002CF735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581449C6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1D5F2080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656EA21E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604E4E02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37139F42" w14:textId="77777777" w:rsidR="000C47B9" w:rsidRPr="000C47B9" w:rsidRDefault="000C47B9" w:rsidP="00CC4997">
            <w:pPr>
              <w:pStyle w:val="Odstavekseznama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vanish/>
                <w:sz w:val="22"/>
                <w:szCs w:val="22"/>
                <w:lang w:eastAsia="en-US"/>
              </w:rPr>
            </w:pPr>
          </w:p>
          <w:p w14:paraId="06D17C79" w14:textId="77777777" w:rsidR="00C37F67" w:rsidRPr="00C37F67" w:rsidRDefault="00C37F67" w:rsidP="00CC4997">
            <w:pPr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Izhodišče: pomen načela sorazmernosti za opredelitev diskriminacije</w:t>
            </w:r>
          </w:p>
          <w:p w14:paraId="2DA0EB1A" w14:textId="77777777" w:rsidR="00C37F67" w:rsidRPr="00C37F67" w:rsidRDefault="00C37F67" w:rsidP="00CC4997">
            <w:pPr>
              <w:pStyle w:val="Odstavekseznama"/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Pojmovna razčlenitev različnih pojavnih oblik diskriminacije: neposredna diskriminacija; posredna diskriminacija; nadlegovanje; navodila za diskriminiranje; povračilni ukrepi; diskriminacija preko povezave; sovražni govor in zločini iz sovraštva; strukturna ali institucionalna diskriminacija; pozitivna diskriminacija.</w:t>
            </w:r>
          </w:p>
          <w:p w14:paraId="11680051" w14:textId="77777777" w:rsidR="00C37F67" w:rsidRPr="00C37F67" w:rsidRDefault="00C37F67" w:rsidP="00CC4997">
            <w:pPr>
              <w:pStyle w:val="Odstavekseznama"/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Pojavne oblike diskriminacije v slovenskem pravnem redu</w:t>
            </w:r>
          </w:p>
          <w:p w14:paraId="3FEAA02D" w14:textId="62552615" w:rsidR="00D9298C" w:rsidRDefault="00D9298C" w:rsidP="00CC4997">
            <w:pPr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Izjeme od prepovedi diskriminacije in možnost utemeljitve manj ugodnega obravnavanja</w:t>
            </w:r>
          </w:p>
          <w:p w14:paraId="5DE0DBEC" w14:textId="0C58A625" w:rsidR="00C37F67" w:rsidRPr="00C37F67" w:rsidRDefault="00C37F67" w:rsidP="00CC4997">
            <w:pPr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Zagotavljanje enakosti onkraj prepovedi diskriminacije: pozitivni ukrepi </w:t>
            </w:r>
          </w:p>
          <w:p w14:paraId="5F5376CA" w14:textId="5A93C56E" w:rsidR="002805EA" w:rsidRDefault="00C37F67" w:rsidP="00CC4997">
            <w:pPr>
              <w:pStyle w:val="Odstavekseznama"/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Pojmovna razčlenitev ukrepov za spodbujanje enakosti:</w:t>
            </w:r>
            <w:r w:rsidR="003D12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terminološki izzivi</w:t>
            </w:r>
          </w:p>
          <w:p w14:paraId="0B298AF7" w14:textId="77777777" w:rsidR="002805EA" w:rsidRDefault="002805EA" w:rsidP="00CC4997">
            <w:pPr>
              <w:pStyle w:val="Odstavekseznama"/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C37F67"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ojavne oblike pozitivnih ukrepov;</w:t>
            </w:r>
          </w:p>
          <w:p w14:paraId="3F98B1CD" w14:textId="77777777" w:rsidR="002805EA" w:rsidRDefault="002805EA" w:rsidP="00CC4997">
            <w:pPr>
              <w:pStyle w:val="Odstavekseznama"/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="00C37F67"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činkovitost pozitivnih ukrepov; </w:t>
            </w:r>
          </w:p>
          <w:p w14:paraId="3FCC89EB" w14:textId="77777777" w:rsidR="00C37F67" w:rsidRPr="00C37F67" w:rsidRDefault="00C37F67" w:rsidP="00CC4997">
            <w:pPr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Dopustnost ukrepov za spodbujanje enakosti v slovenskem pravnem redu </w:t>
            </w:r>
          </w:p>
          <w:p w14:paraId="24D3E3B3" w14:textId="77777777" w:rsidR="00C37F67" w:rsidRPr="00C37F67" w:rsidRDefault="00C37F67" w:rsidP="00CC4997">
            <w:pPr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Uveljavljanje pravnega varstva pred diskriminacijo v Republiki Sloveniji</w:t>
            </w:r>
          </w:p>
          <w:p w14:paraId="6FD31002" w14:textId="77777777" w:rsidR="00C37F67" w:rsidRPr="00C37F67" w:rsidRDefault="00C37F67" w:rsidP="00CC4997">
            <w:pPr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Pravne poti za uveljavljanje varstva pred diskriminacijo </w:t>
            </w:r>
          </w:p>
          <w:p w14:paraId="0F1A0F98" w14:textId="77777777" w:rsidR="00C37F67" w:rsidRPr="00C37F67" w:rsidRDefault="00C37F67" w:rsidP="00CC4997">
            <w:pPr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Sankcije v primerih kršitve prepovedi diskriminacije </w:t>
            </w:r>
          </w:p>
          <w:p w14:paraId="75D4FF3A" w14:textId="77777777" w:rsidR="00C37F67" w:rsidRPr="00C37F67" w:rsidRDefault="00C37F67" w:rsidP="00CC4997">
            <w:pPr>
              <w:numPr>
                <w:ilvl w:val="1"/>
                <w:numId w:val="12"/>
              </w:numPr>
              <w:ind w:left="8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Posebnosti v postopkih pravnega varstva pred diskriminacijo  </w:t>
            </w:r>
          </w:p>
          <w:p w14:paraId="07503914" w14:textId="77777777" w:rsidR="0011789A" w:rsidRPr="00C37F67" w:rsidRDefault="00C37F67" w:rsidP="00CC4997">
            <w:pPr>
              <w:numPr>
                <w:ilvl w:val="1"/>
                <w:numId w:val="12"/>
              </w:numPr>
              <w:spacing w:after="120"/>
              <w:ind w:left="856" w:hanging="43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Izhodišča uveljavljanja varstva pred diskriminacijo v evropskem pravnem prostoru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A620C" w14:textId="77777777" w:rsidR="00DC3EF9" w:rsidRPr="00C37F67" w:rsidRDefault="00DC3EF9" w:rsidP="00624D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54D" w14:textId="77777777" w:rsidR="00C12860" w:rsidRDefault="00C12860" w:rsidP="00DE6502">
            <w:pPr>
              <w:pStyle w:val="Odstavekseznama"/>
              <w:numPr>
                <w:ilvl w:val="0"/>
                <w:numId w:val="15"/>
              </w:numPr>
              <w:spacing w:before="12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Positioning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anti-discrimination</w:t>
            </w: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law at the intersection of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different</w:t>
            </w: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disciplines</w:t>
            </w:r>
          </w:p>
          <w:p w14:paraId="0782F964" w14:textId="58B159C7" w:rsidR="00C12860" w:rsidRPr="003C127D" w:rsidRDefault="00C12860" w:rsidP="003C127D">
            <w:pPr>
              <w:pStyle w:val="Odstavekseznama"/>
              <w:numPr>
                <w:ilvl w:val="0"/>
                <w:numId w:val="15"/>
              </w:numPr>
              <w:spacing w:before="12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Foundations of discrimination law</w:t>
            </w:r>
            <w:r w:rsidR="003C127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equality and other values</w:t>
            </w:r>
          </w:p>
          <w:p w14:paraId="750E80BC" w14:textId="302D8634" w:rsidR="00C12860" w:rsidRDefault="00C12860" w:rsidP="00DE6502">
            <w:pPr>
              <w:pStyle w:val="Odstavekseznama"/>
              <w:numPr>
                <w:ilvl w:val="0"/>
                <w:numId w:val="15"/>
              </w:numPr>
              <w:spacing w:before="12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importance of social context for understanding</w:t>
            </w:r>
            <w:r w:rsidR="006533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 legal response to</w:t>
            </w: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discrimination </w:t>
            </w:r>
          </w:p>
          <w:p w14:paraId="229A7A2F" w14:textId="651291A8" w:rsidR="00C12860" w:rsidRPr="00C12860" w:rsidRDefault="00C12860" w:rsidP="00DE6502">
            <w:pPr>
              <w:pStyle w:val="Odstavekseznama"/>
              <w:numPr>
                <w:ilvl w:val="0"/>
                <w:numId w:val="15"/>
              </w:numPr>
              <w:spacing w:before="12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Legal sources of anti-discrimination law</w:t>
            </w:r>
          </w:p>
          <w:p w14:paraId="46A62C99" w14:textId="1AE68EC3" w:rsidR="00C12860" w:rsidRPr="00C12860" w:rsidRDefault="00C12860" w:rsidP="00DE6502">
            <w:pPr>
              <w:pStyle w:val="Odstavekseznama"/>
              <w:numPr>
                <w:ilvl w:val="0"/>
                <w:numId w:val="15"/>
              </w:numPr>
              <w:spacing w:before="12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The significance of the protected </w:t>
            </w:r>
            <w:r w:rsid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grounds</w:t>
            </w:r>
            <w:r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 discrimination law</w:t>
            </w:r>
          </w:p>
          <w:p w14:paraId="28E19B20" w14:textId="48EF46A4" w:rsidR="00C12860" w:rsidRDefault="00C12860" w:rsidP="00DC63D4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Different strategies </w:t>
            </w:r>
            <w:r w:rsidR="00055DC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</w:t>
            </w:r>
            <w:r w:rsidRP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defining</w:t>
            </w:r>
            <w:r w:rsidR="00DE6502" w:rsidRP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protected </w:t>
            </w:r>
            <w:r w:rsid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grounds</w:t>
            </w:r>
          </w:p>
          <w:p w14:paraId="79B5D4EA" w14:textId="5DD87572" w:rsidR="00DE6502" w:rsidRDefault="00055DC8" w:rsidP="00DC63D4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Development of the concepts of </w:t>
            </w:r>
            <w:r w:rsidR="00DE650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  <w:r w:rsidR="00DE6502" w:rsidRPr="00C128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ultiple and intersectional discrimination</w:t>
            </w:r>
          </w:p>
          <w:p w14:paraId="4FF6D3BE" w14:textId="6A74AF8C" w:rsidR="00DE6502" w:rsidRPr="00DE6502" w:rsidRDefault="00DE6502" w:rsidP="00DC63D4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Protected grounds in </w:t>
            </w:r>
            <w:r w:rsidR="00076FA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Slovenian legal system </w:t>
            </w:r>
          </w:p>
          <w:p w14:paraId="1B835C48" w14:textId="49EC8B95" w:rsidR="00C12860" w:rsidRPr="008C7BA6" w:rsidRDefault="00C12860" w:rsidP="00491970">
            <w:pPr>
              <w:pStyle w:val="Odstavekseznama"/>
              <w:numPr>
                <w:ilvl w:val="0"/>
                <w:numId w:val="15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material scope of discrimination law</w:t>
            </w:r>
          </w:p>
          <w:p w14:paraId="0785BFA5" w14:textId="0A91D862" w:rsidR="00C12860" w:rsidRPr="00055DC8" w:rsidRDefault="00C12860" w:rsidP="008C7BA6">
            <w:pPr>
              <w:pStyle w:val="Odstavekseznama"/>
              <w:numPr>
                <w:ilvl w:val="0"/>
                <w:numId w:val="15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55DC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Defining prohibited conduct: types of</w:t>
            </w:r>
            <w:r w:rsidR="00055DC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055DC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discrimination</w:t>
            </w:r>
          </w:p>
          <w:p w14:paraId="2F678DD5" w14:textId="40C7BA7F" w:rsidR="00C12860" w:rsidRPr="008C7BA6" w:rsidRDefault="00C12860" w:rsidP="00EB597D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Defining discrimination through</w:t>
            </w:r>
            <w:r w:rsid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proportionality</w:t>
            </w:r>
          </w:p>
          <w:p w14:paraId="17D7185D" w14:textId="362A4CE4" w:rsidR="00C12860" w:rsidRDefault="00C12860" w:rsidP="00766CF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Specifying different types of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discrimination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irect discrimination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ndirect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discrimination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arassment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nstructions to discriminate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ictimisation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hate speech and hate crimes;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iscrimination by association</w:t>
            </w:r>
            <w:r w:rsidR="00055DC8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</w:t>
            </w:r>
            <w:r w:rsid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ystemic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491970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structural,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or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institutional discrimination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;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positive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discrimination</w:t>
            </w:r>
          </w:p>
          <w:p w14:paraId="60C81561" w14:textId="578CFAAD" w:rsidR="00491970" w:rsidRPr="008C7BA6" w:rsidRDefault="00491970" w:rsidP="00766CF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Types of discrimination in </w:t>
            </w:r>
            <w:r w:rsidR="00F0692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Slovenian legal system</w:t>
            </w:r>
          </w:p>
          <w:p w14:paraId="147D5D3D" w14:textId="156FC0BF" w:rsidR="00D9298C" w:rsidRDefault="00D9298C" w:rsidP="008C7BA6">
            <w:pPr>
              <w:pStyle w:val="Odstavekseznama"/>
              <w:numPr>
                <w:ilvl w:val="0"/>
                <w:numId w:val="15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Exceptions to the prohibition of disc</w:t>
            </w:r>
            <w:r w:rsidR="00F0692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rimination and justification of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less favourable treatment </w:t>
            </w:r>
          </w:p>
          <w:p w14:paraId="56F9EF35" w14:textId="2E2F1EF4" w:rsidR="00C12860" w:rsidRPr="008C7BA6" w:rsidRDefault="00C12860" w:rsidP="008C7BA6">
            <w:pPr>
              <w:pStyle w:val="Odstavekseznama"/>
              <w:numPr>
                <w:ilvl w:val="0"/>
                <w:numId w:val="15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Promoting equality beyond the prohibition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 discrimination</w:t>
            </w:r>
            <w:r w:rsidR="002557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positive action</w:t>
            </w:r>
          </w:p>
          <w:p w14:paraId="27D1B781" w14:textId="219EAF29" w:rsidR="00C12860" w:rsidRPr="002557C6" w:rsidRDefault="00C12860" w:rsidP="002557C6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Conceptual clarifications: positive or</w:t>
            </w:r>
            <w:r w:rsidR="002557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2557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affirmative action</w:t>
            </w:r>
          </w:p>
          <w:p w14:paraId="5F5CC2FF" w14:textId="0BF24677" w:rsidR="00C12860" w:rsidRPr="002805EA" w:rsidRDefault="00C12860" w:rsidP="006E6287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Overview of different types of positive</w:t>
            </w:r>
            <w:r w:rsidR="002805EA" w:rsidRP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2805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action</w:t>
            </w:r>
          </w:p>
          <w:p w14:paraId="2B22B019" w14:textId="6885F56E" w:rsidR="00C12860" w:rsidRDefault="00C12860" w:rsidP="008C7BA6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Effectiveness of positive action</w:t>
            </w:r>
          </w:p>
          <w:p w14:paraId="7625719F" w14:textId="7B421482" w:rsidR="002805EA" w:rsidRPr="008C7BA6" w:rsidRDefault="002805EA" w:rsidP="008C7BA6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Positive action in </w:t>
            </w:r>
            <w:r w:rsidR="00F0692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Slovenian legal system</w:t>
            </w:r>
          </w:p>
          <w:p w14:paraId="2BCF12A4" w14:textId="5A1D0087" w:rsidR="00C12860" w:rsidRPr="008C7BA6" w:rsidRDefault="00C12860" w:rsidP="008C7BA6">
            <w:pPr>
              <w:pStyle w:val="Odstavekseznama"/>
              <w:numPr>
                <w:ilvl w:val="0"/>
                <w:numId w:val="15"/>
              </w:numPr>
              <w:spacing w:before="12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Enforcement of the prohibition of</w:t>
            </w:r>
            <w:r w:rsidR="008C7BA6"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discrimination</w:t>
            </w:r>
          </w:p>
          <w:p w14:paraId="420AD83F" w14:textId="56C0BCF4" w:rsidR="00C12860" w:rsidRPr="008C7BA6" w:rsidRDefault="00C12860" w:rsidP="008C7BA6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Judicial and extra-judicial protection</w:t>
            </w:r>
          </w:p>
          <w:p w14:paraId="3516CB58" w14:textId="242A07C4" w:rsidR="00C12860" w:rsidRPr="008C7BA6" w:rsidRDefault="00C12860" w:rsidP="008C7BA6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Remedies and sanctions</w:t>
            </w:r>
          </w:p>
          <w:p w14:paraId="4683BC5F" w14:textId="709AB433" w:rsidR="00C12860" w:rsidRPr="008C7BA6" w:rsidRDefault="00C12860" w:rsidP="008C7BA6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Specific procedural issues</w:t>
            </w:r>
          </w:p>
          <w:p w14:paraId="300D6627" w14:textId="0FDBC609" w:rsidR="008C7BA6" w:rsidRPr="00F0692D" w:rsidRDefault="00C12860" w:rsidP="00F0692D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C7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Enforcement of the prohibition of</w:t>
            </w:r>
            <w:r w:rsidR="00F0692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F0692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discrimination in the European context</w:t>
            </w:r>
          </w:p>
          <w:p w14:paraId="42803F86" w14:textId="26070ED4" w:rsidR="00DC3EF9" w:rsidRPr="00DF2E73" w:rsidRDefault="00DC3EF9" w:rsidP="00C128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FE2E7" w14:textId="77777777" w:rsidR="00DC3EF9" w:rsidRPr="00624D9A" w:rsidRDefault="00DC3EF9" w:rsidP="00624D9A">
      <w:pPr>
        <w:jc w:val="both"/>
        <w:rPr>
          <w:rFonts w:cs="Calibr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718"/>
        <w:gridCol w:w="16"/>
        <w:gridCol w:w="142"/>
        <w:gridCol w:w="4814"/>
      </w:tblGrid>
      <w:tr w:rsidR="00DC3EF9" w:rsidRPr="00624D9A" w14:paraId="3115AB04" w14:textId="77777777" w:rsidTr="004F23CE">
        <w:tc>
          <w:tcPr>
            <w:tcW w:w="9690" w:type="dxa"/>
            <w:gridSpan w:val="4"/>
          </w:tcPr>
          <w:p w14:paraId="053082C6" w14:textId="77777777" w:rsidR="00DC3EF9" w:rsidRPr="00624D9A" w:rsidRDefault="00DC3EF9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</w:rPr>
              <w:br w:type="page"/>
            </w:r>
            <w:r w:rsidRPr="00624D9A">
              <w:rPr>
                <w:rFonts w:cs="Calibri"/>
                <w:b/>
              </w:rPr>
              <w:t xml:space="preserve">Temeljni literatura in viri / </w:t>
            </w:r>
            <w:r w:rsidRPr="0024752C">
              <w:rPr>
                <w:rFonts w:cs="Calibri"/>
                <w:b/>
                <w:lang w:val="en-GB"/>
              </w:rPr>
              <w:t>Readings</w:t>
            </w:r>
            <w:r w:rsidRPr="00624D9A">
              <w:rPr>
                <w:rFonts w:cs="Calibri"/>
                <w:b/>
              </w:rPr>
              <w:t>:</w:t>
            </w:r>
          </w:p>
        </w:tc>
      </w:tr>
      <w:tr w:rsidR="00DC3EF9" w:rsidRPr="00624D9A" w14:paraId="0EEFEDC2" w14:textId="77777777" w:rsidTr="008A3444">
        <w:trPr>
          <w:trHeight w:val="411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E10" w14:textId="77777777" w:rsidR="006C6140" w:rsidRPr="00DF2E73" w:rsidRDefault="006C6140" w:rsidP="00CC4997">
            <w:pPr>
              <w:pStyle w:val="Sprotnaopomba-besedilo"/>
              <w:numPr>
                <w:ilvl w:val="0"/>
                <w:numId w:val="2"/>
              </w:numPr>
              <w:spacing w:before="12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Ucbeniki"/>
            <w:bookmarkEnd w:id="5"/>
            <w:r w:rsidRPr="004C24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Agencija Evropske unije za temeljne pravice</w:t>
            </w:r>
            <w:r w:rsidR="004C2467" w:rsidRPr="004C2467">
              <w:rPr>
                <w:rFonts w:asciiTheme="minorHAnsi" w:hAnsiTheme="minorHAnsi" w:cstheme="minorHAnsi"/>
                <w:sz w:val="22"/>
                <w:szCs w:val="22"/>
              </w:rPr>
              <w:t xml:space="preserve"> in Svet Evrope</w:t>
            </w:r>
            <w:r w:rsidRPr="004C2467">
              <w:rPr>
                <w:rFonts w:asciiTheme="minorHAnsi" w:hAnsiTheme="minorHAnsi" w:cstheme="minorHAnsi"/>
                <w:sz w:val="22"/>
                <w:szCs w:val="22"/>
              </w:rPr>
              <w:t>: Priročnik o evropski zakonodaji o nediskriminaciji, Urad za publikacije Evropske unije,</w:t>
            </w:r>
            <w:r w:rsidR="004C2467">
              <w:rPr>
                <w:rFonts w:asciiTheme="minorHAnsi" w:hAnsiTheme="minorHAnsi" w:cstheme="minorHAnsi"/>
                <w:sz w:val="22"/>
                <w:szCs w:val="22"/>
              </w:rPr>
              <w:t xml:space="preserve"> Luksemburg</w:t>
            </w:r>
            <w:r w:rsidRPr="004C2467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 w:rsidR="004C2467" w:rsidRPr="004C246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2467" w:rsidRPr="00DF2E73">
              <w:rPr>
                <w:rFonts w:asciiTheme="minorHAnsi" w:hAnsiTheme="minorHAnsi" w:cstheme="minorHAnsi"/>
                <w:sz w:val="22"/>
                <w:szCs w:val="22"/>
              </w:rPr>
              <w:t xml:space="preserve"> [European Union Agency for Fundamental Rights, &amp; Council of Europe: Europe Handbook on European Non-discrimination Law,</w:t>
            </w:r>
            <w:r w:rsidR="004C2467" w:rsidRPr="004C2467">
              <w:rPr>
                <w:rFonts w:asciiTheme="minorHAnsi" w:hAnsiTheme="minorHAnsi" w:cstheme="minorHAnsi"/>
                <w:sz w:val="22"/>
                <w:szCs w:val="22"/>
              </w:rPr>
              <w:t xml:space="preserve"> Publications Office of the European Union, Luxembourg</w:t>
            </w:r>
            <w:r w:rsidR="004C24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C2467" w:rsidRPr="004C2467">
              <w:rPr>
                <w:rFonts w:asciiTheme="minorHAnsi" w:hAnsiTheme="minorHAnsi" w:cstheme="minorHAnsi"/>
                <w:sz w:val="22"/>
                <w:szCs w:val="22"/>
              </w:rPr>
              <w:t xml:space="preserve"> edition</w:t>
            </w:r>
            <w:r w:rsidR="000A3A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467" w:rsidRPr="004C2467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4C2467" w:rsidRPr="00DF2E73">
              <w:rPr>
                <w:rFonts w:asciiTheme="minorHAnsi" w:hAnsiTheme="minorHAnsi" w:cstheme="minorHAnsi"/>
                <w:sz w:val="22"/>
                <w:szCs w:val="22"/>
              </w:rPr>
              <w:t>.]</w:t>
            </w:r>
          </w:p>
          <w:p w14:paraId="1A551852" w14:textId="4531CFBA" w:rsidR="000472E2" w:rsidRPr="000704DF" w:rsidRDefault="00572B1B" w:rsidP="000704DF">
            <w:pPr>
              <w:pStyle w:val="Sprotnaopomba-besedilo"/>
              <w:numPr>
                <w:ilvl w:val="0"/>
                <w:numId w:val="2"/>
              </w:num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C24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Fredman, Sandra: Discrimination Law, 2nd edition, Oxford University Press, Oxford, New York, </w:t>
            </w:r>
            <w:r w:rsidR="00012C9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2011</w:t>
            </w:r>
            <w:r w:rsidRPr="004C24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; selected chapters (izbrana poglavlja). </w:t>
            </w:r>
          </w:p>
          <w:p w14:paraId="4D92C54D" w14:textId="77777777" w:rsidR="000472E2" w:rsidRDefault="000472E2" w:rsidP="00CC4997">
            <w:pPr>
              <w:pStyle w:val="Sprotnaopomba-besedilo"/>
              <w:numPr>
                <w:ilvl w:val="0"/>
                <w:numId w:val="2"/>
              </w:num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Khaitan, Tarunabh: A Theory of Discrimination Law, Oxford University Press Oxford, New York, 2015; selected chapters</w:t>
            </w:r>
            <w:r w:rsidR="00AC39DC" w:rsidRPr="00C37F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(izbrana poglavlja)</w:t>
            </w:r>
            <w:r w:rsidRPr="00C37F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12A7FEB5" w14:textId="77777777" w:rsidR="005A78D4" w:rsidRPr="00E3570B" w:rsidRDefault="004D759A" w:rsidP="00CC4997">
            <w:pPr>
              <w:pStyle w:val="Sprotnaopomba-besedilo"/>
              <w:numPr>
                <w:ilvl w:val="0"/>
                <w:numId w:val="2"/>
              </w:numPr>
              <w:spacing w:after="6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570B">
              <w:rPr>
                <w:rFonts w:asciiTheme="minorHAnsi" w:hAnsiTheme="minorHAnsi" w:cstheme="minorHAnsi"/>
                <w:sz w:val="22"/>
                <w:szCs w:val="22"/>
              </w:rPr>
              <w:t>Veljavn</w:t>
            </w:r>
            <w:r w:rsidR="00AC5DBA" w:rsidRPr="00E3570B">
              <w:rPr>
                <w:rFonts w:asciiTheme="minorHAnsi" w:hAnsiTheme="minorHAnsi" w:cstheme="minorHAnsi"/>
                <w:sz w:val="22"/>
                <w:szCs w:val="22"/>
              </w:rPr>
              <w:t>i predpisi</w:t>
            </w:r>
            <w:r w:rsidRPr="00E3570B">
              <w:rPr>
                <w:rFonts w:asciiTheme="minorHAnsi" w:hAnsiTheme="minorHAnsi" w:cstheme="minorHAnsi"/>
                <w:sz w:val="22"/>
                <w:szCs w:val="22"/>
              </w:rPr>
              <w:t xml:space="preserve"> s področja, ki se objavi</w:t>
            </w:r>
            <w:r w:rsidR="00AC5DBA" w:rsidRPr="00E3570B">
              <w:rPr>
                <w:rFonts w:asciiTheme="minorHAnsi" w:hAnsiTheme="minorHAnsi" w:cstheme="minorHAnsi"/>
                <w:sz w:val="22"/>
                <w:szCs w:val="22"/>
              </w:rPr>
              <w:t>jo</w:t>
            </w:r>
            <w:r w:rsidRPr="00E3570B">
              <w:rPr>
                <w:rFonts w:asciiTheme="minorHAnsi" w:hAnsiTheme="minorHAnsi" w:cstheme="minorHAnsi"/>
                <w:sz w:val="22"/>
                <w:szCs w:val="22"/>
              </w:rPr>
              <w:t xml:space="preserve"> za vsako študijsko leto</w:t>
            </w:r>
            <w:r w:rsidR="00E3570B" w:rsidRPr="00E3570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E3570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E3570B">
              <w:rPr>
                <w:rFonts w:asciiTheme="minorHAnsi" w:hAnsiTheme="minorHAnsi" w:cstheme="minorHAnsi"/>
                <w:sz w:val="22"/>
                <w:szCs w:val="22"/>
              </w:rPr>
              <w:t>poštevne sodbe Evropskega sodišča za človekove pravice, Sodišča Evropske unije in sodne odločbe slovenskih sodišč.</w:t>
            </w:r>
          </w:p>
          <w:p w14:paraId="51E3102A" w14:textId="77777777" w:rsidR="00AC5DBA" w:rsidRPr="00AC5DBA" w:rsidRDefault="00AC5DBA" w:rsidP="00CC4997">
            <w:pPr>
              <w:pStyle w:val="Odstavekseznama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4367E5">
              <w:rPr>
                <w:rFonts w:asciiTheme="minorHAnsi" w:hAnsiTheme="minorHAnsi"/>
                <w:sz w:val="22"/>
                <w:szCs w:val="22"/>
              </w:rPr>
              <w:t>rugo gradivo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literatura, sporočena na</w:t>
            </w:r>
            <w:r w:rsidRPr="004367E5">
              <w:rPr>
                <w:rFonts w:asciiTheme="minorHAnsi" w:hAnsiTheme="minorHAnsi"/>
                <w:sz w:val="22"/>
                <w:szCs w:val="22"/>
              </w:rPr>
              <w:t xml:space="preserve"> predavanj</w:t>
            </w:r>
            <w:r>
              <w:rPr>
                <w:rFonts w:asciiTheme="minorHAnsi" w:hAnsiTheme="minorHAnsi"/>
                <w:sz w:val="22"/>
                <w:szCs w:val="22"/>
              </w:rPr>
              <w:t>ih in</w:t>
            </w:r>
            <w:r w:rsidRPr="004367E5">
              <w:rPr>
                <w:rFonts w:asciiTheme="minorHAnsi" w:hAnsiTheme="minorHAnsi"/>
                <w:sz w:val="22"/>
                <w:szCs w:val="22"/>
              </w:rPr>
              <w:t xml:space="preserve"> seminarj</w:t>
            </w:r>
            <w:r>
              <w:rPr>
                <w:rFonts w:asciiTheme="minorHAnsi" w:hAnsiTheme="minorHAnsi"/>
                <w:sz w:val="22"/>
                <w:szCs w:val="22"/>
              </w:rPr>
              <w:t>u ter dostopna v ŠIS oziroma</w:t>
            </w:r>
            <w:r w:rsidR="000E225A">
              <w:rPr>
                <w:rFonts w:asciiTheme="minorHAnsi" w:hAnsi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spletni učilnici</w:t>
            </w:r>
            <w:r w:rsidRPr="004367E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C3EF9" w:rsidRPr="00624D9A" w14:paraId="3C71B88D" w14:textId="77777777" w:rsidTr="00A90C15">
        <w:trPr>
          <w:trHeight w:val="73"/>
        </w:trPr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0DE6E" w14:textId="77777777" w:rsidR="00DC3EF9" w:rsidRPr="00624D9A" w:rsidRDefault="00DC3EF9" w:rsidP="00624D9A">
            <w:pPr>
              <w:jc w:val="both"/>
              <w:rPr>
                <w:rFonts w:cs="Calibri"/>
                <w:b/>
                <w:bCs/>
              </w:rPr>
            </w:pPr>
          </w:p>
          <w:p w14:paraId="5BE1E937" w14:textId="77777777" w:rsidR="00DC3EF9" w:rsidRPr="00624D9A" w:rsidRDefault="00DC3EF9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Cilji in kompetence:</w:t>
            </w:r>
          </w:p>
        </w:tc>
        <w:tc>
          <w:tcPr>
            <w:tcW w:w="158" w:type="dxa"/>
            <w:gridSpan w:val="2"/>
          </w:tcPr>
          <w:p w14:paraId="04BCD939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604F2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  <w:p w14:paraId="22589C52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  <w:lang w:val="en-GB"/>
              </w:rPr>
              <w:t>Objectives and competences</w:t>
            </w:r>
            <w:r w:rsidRPr="00624D9A">
              <w:rPr>
                <w:rFonts w:cs="Calibri"/>
                <w:b/>
              </w:rPr>
              <w:t>:</w:t>
            </w:r>
          </w:p>
        </w:tc>
      </w:tr>
      <w:tr w:rsidR="00DC3EF9" w:rsidRPr="00624D9A" w14:paraId="26E85A5C" w14:textId="77777777" w:rsidTr="00A90C15">
        <w:trPr>
          <w:trHeight w:val="283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CFD" w14:textId="55C45E00" w:rsidR="005B270A" w:rsidRPr="00C37F67" w:rsidRDefault="008263E3" w:rsidP="008263E3">
            <w:pPr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Cilj</w:t>
            </w:r>
            <w:r w:rsidR="005B270A" w:rsidRPr="00C37F67">
              <w:rPr>
                <w:rFonts w:cs="Calibri"/>
                <w:sz w:val="22"/>
                <w:szCs w:val="22"/>
              </w:rPr>
              <w:t xml:space="preserve"> predmeta je</w:t>
            </w:r>
            <w:r w:rsidR="000E3ACD" w:rsidRPr="00C37F67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seznaniti študentke in študente</w:t>
            </w:r>
            <w:r w:rsidR="00F80B27" w:rsidRPr="00C37F67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 xml:space="preserve">s pravno ureditvijo varstva pred diskriminacijo in spodbujanja enakosti </w:t>
            </w:r>
            <w:r w:rsidR="00BD4E60">
              <w:rPr>
                <w:rFonts w:cs="Calibri"/>
                <w:sz w:val="22"/>
                <w:szCs w:val="22"/>
              </w:rPr>
              <w:t>v Republiki Sloveniji</w:t>
            </w:r>
            <w:r w:rsidR="005B270A" w:rsidRPr="00C37F67">
              <w:rPr>
                <w:rFonts w:cs="Calibri"/>
                <w:sz w:val="22"/>
                <w:szCs w:val="22"/>
              </w:rPr>
              <w:t xml:space="preserve">. </w:t>
            </w:r>
            <w:r w:rsidR="002316E8">
              <w:rPr>
                <w:rFonts w:cs="Calibri"/>
                <w:sz w:val="22"/>
                <w:szCs w:val="22"/>
              </w:rPr>
              <w:t>Študentke in študenti</w:t>
            </w:r>
            <w:r w:rsidR="002316E8" w:rsidRPr="005D1D30">
              <w:rPr>
                <w:rFonts w:cs="Calibri"/>
                <w:sz w:val="22"/>
                <w:szCs w:val="22"/>
              </w:rPr>
              <w:t xml:space="preserve"> bodo pridobili </w:t>
            </w:r>
            <w:r w:rsidR="003A16FE">
              <w:rPr>
                <w:rFonts w:cs="Calibri"/>
                <w:sz w:val="22"/>
                <w:szCs w:val="22"/>
              </w:rPr>
              <w:t xml:space="preserve">poglobljeno </w:t>
            </w:r>
            <w:r w:rsidR="002316E8" w:rsidRPr="005D1D30">
              <w:rPr>
                <w:rFonts w:cs="Calibri"/>
                <w:sz w:val="22"/>
                <w:szCs w:val="22"/>
              </w:rPr>
              <w:t>razumevanje</w:t>
            </w:r>
            <w:r w:rsidR="002316E8">
              <w:rPr>
                <w:rFonts w:cs="Calibri"/>
                <w:sz w:val="22"/>
                <w:szCs w:val="22"/>
              </w:rPr>
              <w:t xml:space="preserve"> osrednjih</w:t>
            </w:r>
            <w:r w:rsidR="002316E8" w:rsidRPr="005D1D30">
              <w:rPr>
                <w:rFonts w:cs="Calibri"/>
                <w:sz w:val="22"/>
                <w:szCs w:val="22"/>
              </w:rPr>
              <w:t xml:space="preserve"> pravnih problemov</w:t>
            </w:r>
            <w:r w:rsidR="002316E8">
              <w:rPr>
                <w:rFonts w:cs="Calibri"/>
                <w:sz w:val="22"/>
                <w:szCs w:val="22"/>
              </w:rPr>
              <w:t>, ki se pojavljajo na tem področju</w:t>
            </w:r>
            <w:r w:rsidR="002316E8" w:rsidRPr="005D1D30">
              <w:rPr>
                <w:rFonts w:cs="Calibri"/>
                <w:sz w:val="22"/>
                <w:szCs w:val="22"/>
              </w:rPr>
              <w:t xml:space="preserve">, </w:t>
            </w:r>
            <w:r w:rsidR="003A16FE">
              <w:rPr>
                <w:rFonts w:cs="Calibri"/>
                <w:sz w:val="22"/>
                <w:szCs w:val="22"/>
              </w:rPr>
              <w:t xml:space="preserve">kar jim bo omogočilo samostojno analiziranje in kritično ovrednotenje </w:t>
            </w:r>
            <w:r w:rsidR="002316E8" w:rsidRPr="005D1D30">
              <w:rPr>
                <w:rFonts w:cs="Calibri"/>
                <w:sz w:val="22"/>
                <w:szCs w:val="22"/>
              </w:rPr>
              <w:t>praktični</w:t>
            </w:r>
            <w:r w:rsidR="003A16FE">
              <w:rPr>
                <w:rFonts w:cs="Calibri"/>
                <w:sz w:val="22"/>
                <w:szCs w:val="22"/>
              </w:rPr>
              <w:t>h</w:t>
            </w:r>
            <w:r w:rsidR="002316E8">
              <w:rPr>
                <w:rFonts w:cs="Calibri"/>
                <w:sz w:val="22"/>
                <w:szCs w:val="22"/>
              </w:rPr>
              <w:t xml:space="preserve"> (konkretni</w:t>
            </w:r>
            <w:r w:rsidR="003A16FE">
              <w:rPr>
                <w:rFonts w:cs="Calibri"/>
                <w:sz w:val="22"/>
                <w:szCs w:val="22"/>
              </w:rPr>
              <w:t>h</w:t>
            </w:r>
            <w:r w:rsidR="002316E8">
              <w:rPr>
                <w:rFonts w:cs="Calibri"/>
                <w:sz w:val="22"/>
                <w:szCs w:val="22"/>
              </w:rPr>
              <w:t>) primero</w:t>
            </w:r>
            <w:r w:rsidR="003A16FE">
              <w:rPr>
                <w:rFonts w:cs="Calibri"/>
                <w:sz w:val="22"/>
                <w:szCs w:val="22"/>
              </w:rPr>
              <w:t>v diskriminacije</w:t>
            </w:r>
            <w:r w:rsidR="002316E8">
              <w:rPr>
                <w:rFonts w:cs="Calibri"/>
                <w:sz w:val="22"/>
                <w:szCs w:val="22"/>
              </w:rPr>
              <w:t xml:space="preserve"> (zlasti iz domače sodne prakse)</w:t>
            </w:r>
            <w:r w:rsidR="002316E8" w:rsidRPr="005D1D30">
              <w:rPr>
                <w:rFonts w:cs="Calibri"/>
                <w:sz w:val="22"/>
                <w:szCs w:val="22"/>
              </w:rPr>
              <w:t>.</w:t>
            </w:r>
            <w:r w:rsidR="00407E85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208F6" w14:textId="77777777" w:rsidR="00DC3EF9" w:rsidRPr="00C37F67" w:rsidRDefault="00DC3EF9" w:rsidP="00624D9A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35F" w14:textId="7A0BC66B" w:rsidR="00624D9A" w:rsidRPr="00053802" w:rsidRDefault="00053802" w:rsidP="00053802">
            <w:pPr>
              <w:pStyle w:val="Brezrazmikov"/>
              <w:spacing w:before="120"/>
              <w:jc w:val="both"/>
              <w:rPr>
                <w:rFonts w:asciiTheme="minorHAnsi" w:hAnsiTheme="minorHAnsi" w:cstheme="minorHAnsi"/>
                <w:lang w:val="en-GB"/>
              </w:rPr>
            </w:pPr>
            <w:r w:rsidRPr="00053802">
              <w:rPr>
                <w:rFonts w:asciiTheme="minorHAnsi" w:hAnsiTheme="minorHAnsi" w:cstheme="minorHAnsi"/>
                <w:lang w:val="en-GB"/>
              </w:rPr>
              <w:t xml:space="preserve">The purpose of the course is to provide students with an overview of the legal framework for the protection against discrimination </w:t>
            </w:r>
            <w:r w:rsidR="00B9241A" w:rsidRPr="00053802">
              <w:rPr>
                <w:rFonts w:asciiTheme="minorHAnsi" w:hAnsiTheme="minorHAnsi" w:cstheme="minorHAnsi"/>
                <w:lang w:val="en-GB"/>
              </w:rPr>
              <w:t xml:space="preserve">and the promotion of equality </w:t>
            </w:r>
            <w:r w:rsidRPr="00053802">
              <w:rPr>
                <w:rFonts w:asciiTheme="minorHAnsi" w:hAnsiTheme="minorHAnsi" w:cstheme="minorHAnsi"/>
                <w:lang w:val="en-GB"/>
              </w:rPr>
              <w:t>in</w:t>
            </w:r>
            <w:r w:rsidR="00893CF6">
              <w:rPr>
                <w:rFonts w:asciiTheme="minorHAnsi" w:hAnsiTheme="minorHAnsi" w:cstheme="minorHAnsi"/>
                <w:lang w:val="en-GB"/>
              </w:rPr>
              <w:t xml:space="preserve"> the</w:t>
            </w:r>
            <w:r w:rsidRPr="00053802">
              <w:rPr>
                <w:rFonts w:asciiTheme="minorHAnsi" w:hAnsiTheme="minorHAnsi" w:cstheme="minorHAnsi"/>
                <w:lang w:val="en-GB"/>
              </w:rPr>
              <w:t xml:space="preserve"> Republic of Slovenia. </w:t>
            </w:r>
            <w:r>
              <w:rPr>
                <w:rFonts w:asciiTheme="minorHAnsi" w:hAnsiTheme="minorHAnsi" w:cstheme="minorHAnsi"/>
                <w:lang w:val="en-GB"/>
              </w:rPr>
              <w:t xml:space="preserve">The students will acquire </w:t>
            </w:r>
            <w:r w:rsidR="003A16FE">
              <w:rPr>
                <w:rFonts w:asciiTheme="minorHAnsi" w:hAnsiTheme="minorHAnsi" w:cstheme="minorHAnsi"/>
                <w:lang w:val="en-GB"/>
              </w:rPr>
              <w:t>an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A16FE">
              <w:rPr>
                <w:rFonts w:asciiTheme="minorHAnsi" w:hAnsiTheme="minorHAnsi" w:cstheme="minorHAnsi"/>
                <w:lang w:val="en-GB"/>
              </w:rPr>
              <w:t xml:space="preserve">in-depth </w:t>
            </w:r>
            <w:r>
              <w:rPr>
                <w:rFonts w:asciiTheme="minorHAnsi" w:hAnsiTheme="minorHAnsi" w:cstheme="minorHAnsi"/>
                <w:lang w:val="en-GB"/>
              </w:rPr>
              <w:t xml:space="preserve">understanding of the </w:t>
            </w:r>
            <w:r w:rsidR="003A16FE">
              <w:rPr>
                <w:rFonts w:asciiTheme="minorHAnsi" w:hAnsiTheme="minorHAnsi" w:cstheme="minorHAnsi"/>
                <w:lang w:val="en-GB"/>
              </w:rPr>
              <w:t>key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A16FE">
              <w:rPr>
                <w:rFonts w:asciiTheme="minorHAnsi" w:hAnsiTheme="minorHAnsi" w:cstheme="minorHAnsi"/>
                <w:lang w:val="en-GB"/>
              </w:rPr>
              <w:t xml:space="preserve">legal issues in this filed that will </w:t>
            </w:r>
            <w:r w:rsidR="00B9241A">
              <w:rPr>
                <w:rFonts w:asciiTheme="minorHAnsi" w:hAnsiTheme="minorHAnsi" w:cstheme="minorHAnsi"/>
                <w:lang w:val="en-GB"/>
              </w:rPr>
              <w:t>enable them to carry out</w:t>
            </w:r>
            <w:r w:rsidR="003A16F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70C3E">
              <w:rPr>
                <w:rFonts w:asciiTheme="minorHAnsi" w:hAnsiTheme="minorHAnsi" w:cstheme="minorHAnsi"/>
                <w:lang w:val="en-GB"/>
              </w:rPr>
              <w:t xml:space="preserve">an </w:t>
            </w:r>
            <w:r w:rsidR="003A16FE">
              <w:rPr>
                <w:rFonts w:asciiTheme="minorHAnsi" w:hAnsiTheme="minorHAnsi" w:cstheme="minorHAnsi"/>
                <w:lang w:val="en-GB"/>
              </w:rPr>
              <w:t xml:space="preserve">independent </w:t>
            </w:r>
            <w:r w:rsidR="00470C3E">
              <w:rPr>
                <w:rFonts w:asciiTheme="minorHAnsi" w:hAnsiTheme="minorHAnsi" w:cstheme="minorHAnsi"/>
                <w:lang w:val="en-GB"/>
              </w:rPr>
              <w:t xml:space="preserve">legal </w:t>
            </w:r>
            <w:r w:rsidR="003A16FE">
              <w:rPr>
                <w:rFonts w:asciiTheme="minorHAnsi" w:hAnsiTheme="minorHAnsi" w:cstheme="minorHAnsi"/>
                <w:lang w:val="en-GB"/>
              </w:rPr>
              <w:t>analys</w:t>
            </w:r>
            <w:r w:rsidR="00470C3E">
              <w:rPr>
                <w:rFonts w:asciiTheme="minorHAnsi" w:hAnsiTheme="minorHAnsi" w:cstheme="minorHAnsi"/>
                <w:lang w:val="en-GB"/>
              </w:rPr>
              <w:t>is</w:t>
            </w:r>
            <w:r w:rsidR="003A16FE">
              <w:rPr>
                <w:rFonts w:asciiTheme="minorHAnsi" w:hAnsiTheme="minorHAnsi" w:cstheme="minorHAnsi"/>
                <w:lang w:val="en-GB"/>
              </w:rPr>
              <w:t xml:space="preserve"> and critical evaluat</w:t>
            </w:r>
            <w:r w:rsidR="00470C3E">
              <w:rPr>
                <w:rFonts w:asciiTheme="minorHAnsi" w:hAnsiTheme="minorHAnsi" w:cstheme="minorHAnsi"/>
                <w:lang w:val="en-GB"/>
              </w:rPr>
              <w:t>ion of discrimination</w:t>
            </w:r>
            <w:r w:rsidR="00B9241A">
              <w:rPr>
                <w:rFonts w:asciiTheme="minorHAnsi" w:hAnsiTheme="minorHAnsi" w:cstheme="minorHAnsi"/>
                <w:lang w:val="en-GB"/>
              </w:rPr>
              <w:t xml:space="preserve"> cases</w:t>
            </w:r>
            <w:r w:rsidR="00470C3E">
              <w:rPr>
                <w:rFonts w:asciiTheme="minorHAnsi" w:hAnsiTheme="minorHAnsi" w:cstheme="minorHAnsi"/>
                <w:lang w:val="en-GB"/>
              </w:rPr>
              <w:t xml:space="preserve"> (particularly </w:t>
            </w:r>
            <w:r w:rsidR="00B9241A">
              <w:rPr>
                <w:rFonts w:asciiTheme="minorHAnsi" w:hAnsiTheme="minorHAnsi" w:cstheme="minorHAnsi"/>
                <w:lang w:val="en-GB"/>
              </w:rPr>
              <w:t>in the Slovenian legal context)</w:t>
            </w:r>
            <w:r w:rsidR="00470C3E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DC3EF9" w:rsidRPr="00624D9A" w14:paraId="3E78F79B" w14:textId="77777777" w:rsidTr="00A90C15">
        <w:trPr>
          <w:trHeight w:val="117"/>
        </w:trPr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53C3" w14:textId="77777777" w:rsidR="00DC3EF9" w:rsidRDefault="00DC3EF9" w:rsidP="00624D9A">
            <w:pPr>
              <w:jc w:val="both"/>
              <w:rPr>
                <w:rFonts w:cs="Calibri"/>
                <w:b/>
              </w:rPr>
            </w:pPr>
          </w:p>
          <w:p w14:paraId="249D3F9A" w14:textId="77777777" w:rsidR="000472E2" w:rsidRPr="00624D9A" w:rsidRDefault="000472E2" w:rsidP="00624D9A">
            <w:pPr>
              <w:jc w:val="both"/>
              <w:rPr>
                <w:rFonts w:cs="Calibri"/>
                <w:b/>
              </w:rPr>
            </w:pPr>
          </w:p>
          <w:p w14:paraId="3F9DAFAB" w14:textId="77777777" w:rsidR="00DC3EF9" w:rsidRPr="00624D9A" w:rsidRDefault="00DC3EF9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Predvideni študijski rezultati:</w:t>
            </w:r>
          </w:p>
        </w:tc>
        <w:tc>
          <w:tcPr>
            <w:tcW w:w="142" w:type="dxa"/>
          </w:tcPr>
          <w:p w14:paraId="1F68F9DB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  <w:p w14:paraId="19460C05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7DDE8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  <w:p w14:paraId="7318C8B2" w14:textId="77777777" w:rsidR="00A90C15" w:rsidRDefault="00A90C15" w:rsidP="00624D9A">
            <w:pPr>
              <w:jc w:val="both"/>
              <w:rPr>
                <w:rFonts w:cs="Calibri"/>
                <w:b/>
              </w:rPr>
            </w:pPr>
          </w:p>
          <w:p w14:paraId="18D85671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Intended learning outcomes:</w:t>
            </w:r>
          </w:p>
        </w:tc>
      </w:tr>
      <w:tr w:rsidR="00DC3EF9" w:rsidRPr="00624D9A" w14:paraId="78804DDE" w14:textId="77777777" w:rsidTr="00A90C15">
        <w:trPr>
          <w:trHeight w:val="567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4E2" w14:textId="77777777" w:rsidR="00D0790E" w:rsidRPr="00FD68C6" w:rsidRDefault="000D49E6" w:rsidP="000D49E6">
            <w:pPr>
              <w:spacing w:before="120"/>
              <w:jc w:val="both"/>
              <w:rPr>
                <w:rFonts w:cs="Calibri"/>
                <w:sz w:val="22"/>
                <w:szCs w:val="22"/>
              </w:rPr>
            </w:pPr>
            <w:r w:rsidRPr="000D49E6">
              <w:rPr>
                <w:rFonts w:cs="Calibri"/>
                <w:sz w:val="22"/>
                <w:szCs w:val="22"/>
              </w:rPr>
              <w:t>Po opravljenih obveznostih bo</w:t>
            </w:r>
            <w:r>
              <w:rPr>
                <w:rFonts w:cs="Calibri"/>
                <w:sz w:val="22"/>
                <w:szCs w:val="22"/>
              </w:rPr>
              <w:t>do imeli</w:t>
            </w:r>
            <w:r w:rsidRPr="000D49E6">
              <w:rPr>
                <w:rFonts w:cs="Calibri"/>
                <w:sz w:val="22"/>
                <w:szCs w:val="22"/>
              </w:rPr>
              <w:t xml:space="preserve"> študent</w:t>
            </w:r>
            <w:r>
              <w:rPr>
                <w:rFonts w:cs="Calibri"/>
                <w:sz w:val="22"/>
                <w:szCs w:val="22"/>
              </w:rPr>
              <w:t>i in študentke p</w:t>
            </w:r>
            <w:r w:rsidRPr="00FD68C6">
              <w:rPr>
                <w:rFonts w:cs="Calibri"/>
                <w:sz w:val="22"/>
                <w:szCs w:val="22"/>
              </w:rPr>
              <w:t>oglobljeno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FD68C6">
              <w:rPr>
                <w:rFonts w:cs="Calibri"/>
                <w:sz w:val="22"/>
                <w:szCs w:val="22"/>
              </w:rPr>
              <w:t xml:space="preserve">poznavanje ključnih pojmov </w:t>
            </w:r>
            <w:r w:rsidR="00DB1BB4">
              <w:rPr>
                <w:rFonts w:cs="Calibri"/>
                <w:sz w:val="22"/>
                <w:szCs w:val="22"/>
              </w:rPr>
              <w:t>s</w:t>
            </w:r>
            <w:r w:rsidRPr="00FD68C6">
              <w:rPr>
                <w:rFonts w:cs="Calibri"/>
                <w:sz w:val="22"/>
                <w:szCs w:val="22"/>
              </w:rPr>
              <w:t xml:space="preserve"> področj</w:t>
            </w:r>
            <w:r w:rsidR="00DB1BB4">
              <w:rPr>
                <w:rFonts w:cs="Calibri"/>
                <w:sz w:val="22"/>
                <w:szCs w:val="22"/>
              </w:rPr>
              <w:t>a</w:t>
            </w:r>
            <w:r w:rsidRPr="00FD68C6">
              <w:rPr>
                <w:rFonts w:cs="Calibri"/>
                <w:sz w:val="22"/>
                <w:szCs w:val="22"/>
              </w:rPr>
              <w:t xml:space="preserve"> prava varstva pred diskriminacijo</w:t>
            </w:r>
            <w:r>
              <w:rPr>
                <w:rFonts w:cs="Calibri"/>
                <w:sz w:val="22"/>
                <w:szCs w:val="22"/>
              </w:rPr>
              <w:t>; p</w:t>
            </w:r>
            <w:r w:rsidRPr="00FD68C6">
              <w:rPr>
                <w:rFonts w:cs="Calibri"/>
                <w:sz w:val="22"/>
                <w:szCs w:val="22"/>
              </w:rPr>
              <w:t>regled nad različnimi mehanizmi za uveljavljanje pravic v pravu varstva pred diskriminacijo v R</w:t>
            </w:r>
            <w:r w:rsidR="00DB1BB4">
              <w:rPr>
                <w:rFonts w:cs="Calibri"/>
                <w:sz w:val="22"/>
                <w:szCs w:val="22"/>
              </w:rPr>
              <w:t>epubliki Sloveniji</w:t>
            </w:r>
            <w:r w:rsidRPr="00FD68C6">
              <w:rPr>
                <w:rFonts w:cs="Calibri"/>
                <w:sz w:val="22"/>
                <w:szCs w:val="22"/>
              </w:rPr>
              <w:t>;</w:t>
            </w:r>
            <w:r>
              <w:rPr>
                <w:rFonts w:cs="Calibri"/>
                <w:sz w:val="22"/>
                <w:szCs w:val="22"/>
              </w:rPr>
              <w:t xml:space="preserve"> r</w:t>
            </w:r>
            <w:r w:rsidR="00D0790E" w:rsidRPr="00FD68C6">
              <w:rPr>
                <w:rFonts w:cs="Calibri"/>
                <w:sz w:val="22"/>
                <w:szCs w:val="22"/>
              </w:rPr>
              <w:t xml:space="preserve">azumevanje izhodiščnih vrednot in načel </w:t>
            </w:r>
            <w:r w:rsidR="00072F50">
              <w:rPr>
                <w:rFonts w:cs="Calibri"/>
                <w:sz w:val="22"/>
                <w:szCs w:val="22"/>
              </w:rPr>
              <w:t xml:space="preserve">na katerih temelji </w:t>
            </w:r>
            <w:r w:rsidR="00D0790E" w:rsidRPr="00FD68C6">
              <w:rPr>
                <w:rFonts w:cs="Calibri"/>
                <w:sz w:val="22"/>
                <w:szCs w:val="22"/>
              </w:rPr>
              <w:t>prav</w:t>
            </w:r>
            <w:r w:rsidR="00072F50">
              <w:rPr>
                <w:rFonts w:cs="Calibri"/>
                <w:sz w:val="22"/>
                <w:szCs w:val="22"/>
              </w:rPr>
              <w:t>o</w:t>
            </w:r>
            <w:r w:rsidR="00D0790E" w:rsidRPr="00FD68C6">
              <w:rPr>
                <w:rFonts w:cs="Calibri"/>
                <w:sz w:val="22"/>
                <w:szCs w:val="22"/>
              </w:rPr>
              <w:t xml:space="preserve"> varstva pred diskriminacijo</w:t>
            </w:r>
            <w:r w:rsidR="00687523">
              <w:rPr>
                <w:rFonts w:cs="Calibri"/>
                <w:sz w:val="22"/>
                <w:szCs w:val="22"/>
              </w:rPr>
              <w:t>; zmožnost</w:t>
            </w:r>
            <w:r w:rsidR="00687523" w:rsidRPr="00520E0C">
              <w:rPr>
                <w:rFonts w:cs="Calibri"/>
                <w:sz w:val="22"/>
                <w:szCs w:val="22"/>
              </w:rPr>
              <w:t xml:space="preserve"> povezovanja pridobljenega znanja</w:t>
            </w:r>
            <w:r w:rsidR="00687523">
              <w:rPr>
                <w:rFonts w:cs="Calibri"/>
                <w:sz w:val="22"/>
                <w:szCs w:val="22"/>
              </w:rPr>
              <w:t xml:space="preserve"> o temelj</w:t>
            </w:r>
            <w:r w:rsidR="00DF2E73">
              <w:rPr>
                <w:rFonts w:cs="Calibri"/>
                <w:sz w:val="22"/>
                <w:szCs w:val="22"/>
              </w:rPr>
              <w:t>n</w:t>
            </w:r>
            <w:r w:rsidR="00687523">
              <w:rPr>
                <w:rFonts w:cs="Calibri"/>
                <w:sz w:val="22"/>
                <w:szCs w:val="22"/>
              </w:rPr>
              <w:t>ih</w:t>
            </w:r>
            <w:r w:rsidR="00DF2E73">
              <w:rPr>
                <w:rFonts w:cs="Calibri"/>
                <w:sz w:val="22"/>
                <w:szCs w:val="22"/>
              </w:rPr>
              <w:t xml:space="preserve"> </w:t>
            </w:r>
            <w:r w:rsidR="00687523">
              <w:rPr>
                <w:rFonts w:cs="Calibri"/>
                <w:sz w:val="22"/>
                <w:szCs w:val="22"/>
              </w:rPr>
              <w:t>konceptih v zvezi z varstvom pred diskriminacijo</w:t>
            </w:r>
            <w:r w:rsidR="00687523" w:rsidRPr="00520E0C">
              <w:rPr>
                <w:rFonts w:cs="Calibri"/>
                <w:sz w:val="22"/>
                <w:szCs w:val="22"/>
              </w:rPr>
              <w:t xml:space="preserve"> z drugimi</w:t>
            </w:r>
            <w:r w:rsidR="00687523">
              <w:rPr>
                <w:rFonts w:cs="Calibri"/>
                <w:sz w:val="22"/>
                <w:szCs w:val="22"/>
              </w:rPr>
              <w:t xml:space="preserve"> pravnimi disciplinami</w:t>
            </w:r>
            <w:r w:rsidR="00072F50">
              <w:rPr>
                <w:rFonts w:cs="Calibri"/>
                <w:sz w:val="22"/>
                <w:szCs w:val="22"/>
              </w:rPr>
              <w:t>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  <w:p w14:paraId="74F0E831" w14:textId="77777777" w:rsidR="004055B0" w:rsidRPr="00C37F67" w:rsidRDefault="00DB1BB4" w:rsidP="00DF2E73">
            <w:pPr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Na podlagi tega bodo sposobni </w:t>
            </w:r>
            <w:r w:rsidR="00D0790E" w:rsidRPr="00FD68C6">
              <w:rPr>
                <w:rFonts w:cs="Calibri"/>
                <w:sz w:val="22"/>
                <w:szCs w:val="22"/>
              </w:rPr>
              <w:t>analizira</w:t>
            </w:r>
            <w:r>
              <w:rPr>
                <w:rFonts w:cs="Calibri"/>
                <w:sz w:val="22"/>
                <w:szCs w:val="22"/>
              </w:rPr>
              <w:t>nj</w:t>
            </w:r>
            <w:r w:rsidR="00554C2E">
              <w:rPr>
                <w:rFonts w:cs="Calibri"/>
                <w:sz w:val="22"/>
                <w:szCs w:val="22"/>
              </w:rPr>
              <w:t>a</w:t>
            </w:r>
            <w:r>
              <w:rPr>
                <w:rFonts w:cs="Calibri"/>
                <w:sz w:val="22"/>
                <w:szCs w:val="22"/>
              </w:rPr>
              <w:t xml:space="preserve"> konkretnih</w:t>
            </w:r>
            <w:r w:rsidR="00FD68C6">
              <w:rPr>
                <w:rFonts w:cs="Calibri"/>
                <w:sz w:val="22"/>
                <w:szCs w:val="22"/>
              </w:rPr>
              <w:t xml:space="preserve"> primer</w:t>
            </w:r>
            <w:r>
              <w:rPr>
                <w:rFonts w:cs="Calibri"/>
                <w:sz w:val="22"/>
                <w:szCs w:val="22"/>
              </w:rPr>
              <w:t>ov</w:t>
            </w:r>
            <w:r w:rsidR="00FD68C6">
              <w:rPr>
                <w:rFonts w:cs="Calibri"/>
                <w:sz w:val="22"/>
                <w:szCs w:val="22"/>
              </w:rPr>
              <w:t xml:space="preserve"> diskriminacije </w:t>
            </w:r>
            <w:r>
              <w:rPr>
                <w:rFonts w:cs="Calibri"/>
                <w:sz w:val="22"/>
                <w:szCs w:val="22"/>
              </w:rPr>
              <w:t xml:space="preserve">iz upravne in sodne prakse ter </w:t>
            </w:r>
            <w:r w:rsidR="00520E0C" w:rsidRPr="00520E0C">
              <w:rPr>
                <w:rFonts w:cs="Calibri"/>
                <w:sz w:val="22"/>
                <w:szCs w:val="22"/>
              </w:rPr>
              <w:t>argumentirane kritične refleksije pravne ureditve na področju</w:t>
            </w:r>
            <w:r w:rsidR="00520E0C">
              <w:rPr>
                <w:rFonts w:cs="Calibri"/>
                <w:sz w:val="22"/>
                <w:szCs w:val="22"/>
              </w:rPr>
              <w:t xml:space="preserve"> varstva pred diskriminacijo</w:t>
            </w:r>
            <w:r w:rsidR="00520E0C" w:rsidRPr="00520E0C">
              <w:rPr>
                <w:rFonts w:cs="Calibri"/>
                <w:sz w:val="22"/>
                <w:szCs w:val="22"/>
              </w:rPr>
              <w:t>, delovanja pravosodnih in upravnih institucij</w:t>
            </w:r>
            <w:r w:rsidR="00072F50">
              <w:rPr>
                <w:rFonts w:cs="Calibri"/>
                <w:sz w:val="22"/>
                <w:szCs w:val="22"/>
              </w:rPr>
              <w:t xml:space="preserve"> na tem področju</w:t>
            </w:r>
            <w:r w:rsidR="00520E0C" w:rsidRPr="00520E0C">
              <w:rPr>
                <w:rFonts w:cs="Calibri"/>
                <w:sz w:val="22"/>
                <w:szCs w:val="22"/>
              </w:rPr>
              <w:t xml:space="preserve"> ter vrednotenja morebitnega razkoraka med predpisanimi</w:t>
            </w:r>
            <w:r w:rsidR="00520E0C">
              <w:rPr>
                <w:rFonts w:cs="Calibri"/>
                <w:sz w:val="22"/>
                <w:szCs w:val="22"/>
              </w:rPr>
              <w:t xml:space="preserve"> </w:t>
            </w:r>
            <w:r w:rsidR="00520E0C" w:rsidRPr="00520E0C">
              <w:rPr>
                <w:rFonts w:cs="Calibri"/>
                <w:sz w:val="22"/>
                <w:szCs w:val="22"/>
              </w:rPr>
              <w:t>rešitvami in njihovim izvajanjem</w:t>
            </w:r>
            <w:r w:rsidR="00E87D3C">
              <w:rPr>
                <w:rFonts w:cs="Calibri"/>
                <w:sz w:val="22"/>
                <w:szCs w:val="22"/>
              </w:rPr>
              <w:t xml:space="preserve"> v praksi</w:t>
            </w:r>
            <w:r w:rsidR="00520E0C" w:rsidRPr="00520E0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590894B0" w14:textId="77777777" w:rsidR="00DC3EF9" w:rsidRPr="00C37F67" w:rsidRDefault="00DC3EF9" w:rsidP="00624D9A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393D0B90" w14:textId="77777777" w:rsidR="00DC3EF9" w:rsidRPr="00C37F67" w:rsidRDefault="00DC3EF9" w:rsidP="00624D9A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5F1752A" w14:textId="77777777" w:rsidR="00DC3EF9" w:rsidRPr="00C37F67" w:rsidRDefault="00DC3EF9" w:rsidP="00624D9A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38E" w14:textId="4379E861" w:rsidR="00310ADD" w:rsidRPr="000C55C9" w:rsidRDefault="003103A4" w:rsidP="003C7BCB">
            <w:pPr>
              <w:spacing w:before="120"/>
              <w:jc w:val="both"/>
              <w:rPr>
                <w:rFonts w:cs="Calibri"/>
                <w:sz w:val="22"/>
                <w:szCs w:val="22"/>
                <w:lang w:val="en-GB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t xml:space="preserve">Upon </w:t>
            </w:r>
            <w:r w:rsidR="00893CF6">
              <w:rPr>
                <w:rFonts w:cs="Calibri"/>
                <w:sz w:val="22"/>
                <w:szCs w:val="22"/>
                <w:lang w:val="en-GB"/>
              </w:rPr>
              <w:t>completing</w:t>
            </w:r>
            <w:r>
              <w:rPr>
                <w:rFonts w:cs="Calibri"/>
                <w:sz w:val="22"/>
                <w:szCs w:val="22"/>
                <w:lang w:val="en-GB"/>
              </w:rPr>
              <w:t xml:space="preserve"> the </w:t>
            </w:r>
            <w:r w:rsidR="00C00D96">
              <w:rPr>
                <w:rFonts w:cs="Calibri"/>
                <w:sz w:val="22"/>
                <w:szCs w:val="22"/>
                <w:lang w:val="en-GB"/>
              </w:rPr>
              <w:t>course,</w:t>
            </w:r>
            <w:r>
              <w:rPr>
                <w:rFonts w:cs="Calibri"/>
                <w:sz w:val="22"/>
                <w:szCs w:val="22"/>
                <w:lang w:val="en-GB"/>
              </w:rPr>
              <w:t xml:space="preserve"> the students will </w:t>
            </w:r>
            <w:r w:rsidR="00C00D96">
              <w:rPr>
                <w:rFonts w:cs="Calibri"/>
                <w:sz w:val="22"/>
                <w:szCs w:val="22"/>
                <w:lang w:val="en-GB"/>
              </w:rPr>
              <w:t>obtain</w:t>
            </w:r>
            <w:r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0C55C9">
              <w:rPr>
                <w:rFonts w:cs="Calibri"/>
                <w:sz w:val="22"/>
                <w:szCs w:val="22"/>
                <w:lang w:val="en-GB"/>
              </w:rPr>
              <w:t xml:space="preserve">an </w:t>
            </w:r>
            <w:r w:rsidR="000C55C9" w:rsidRPr="003103A4">
              <w:rPr>
                <w:rFonts w:cs="Calibri"/>
                <w:sz w:val="22"/>
                <w:szCs w:val="22"/>
                <w:lang w:val="en-GB"/>
              </w:rPr>
              <w:t>in</w:t>
            </w:r>
            <w:r w:rsidRPr="003103A4">
              <w:rPr>
                <w:rFonts w:cs="Calibri"/>
                <w:sz w:val="22"/>
                <w:szCs w:val="22"/>
                <w:lang w:val="en-GB"/>
              </w:rPr>
              <w:t>-depth knowledge of the key concepts in the field of discrimination law;</w:t>
            </w:r>
            <w:r>
              <w:rPr>
                <w:rFonts w:cs="Calibri"/>
                <w:sz w:val="22"/>
                <w:szCs w:val="22"/>
                <w:lang w:val="en-GB"/>
              </w:rPr>
              <w:t xml:space="preserve"> an </w:t>
            </w:r>
            <w:r w:rsidRPr="003103A4">
              <w:rPr>
                <w:rFonts w:cs="Calibri"/>
                <w:sz w:val="22"/>
                <w:szCs w:val="22"/>
                <w:lang w:val="en-GB"/>
              </w:rPr>
              <w:t>overview of different enforcement mechanisms in discrimination law</w:t>
            </w:r>
            <w:r>
              <w:rPr>
                <w:rFonts w:cs="Calibri"/>
                <w:sz w:val="22"/>
                <w:szCs w:val="22"/>
                <w:lang w:val="en-GB"/>
              </w:rPr>
              <w:t xml:space="preserve"> in the Republic of Slovenia</w:t>
            </w:r>
            <w:r w:rsidRPr="003103A4">
              <w:rPr>
                <w:rFonts w:cs="Calibri"/>
                <w:sz w:val="22"/>
                <w:szCs w:val="22"/>
                <w:lang w:val="en-GB"/>
              </w:rPr>
              <w:t>;</w:t>
            </w:r>
            <w:r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893CF6">
              <w:rPr>
                <w:rFonts w:cs="Calibri"/>
                <w:sz w:val="22"/>
                <w:szCs w:val="22"/>
                <w:lang w:val="en-GB"/>
              </w:rPr>
              <w:t xml:space="preserve">an </w:t>
            </w:r>
            <w:r>
              <w:rPr>
                <w:rFonts w:cs="Calibri"/>
                <w:sz w:val="22"/>
                <w:szCs w:val="22"/>
                <w:lang w:val="en-GB"/>
              </w:rPr>
              <w:t>u</w:t>
            </w:r>
            <w:r w:rsidRPr="003103A4">
              <w:rPr>
                <w:rFonts w:cs="Calibri"/>
                <w:sz w:val="22"/>
                <w:szCs w:val="22"/>
                <w:lang w:val="en-GB"/>
              </w:rPr>
              <w:t>nderstanding of the underlying values and principles of discrimination law;</w:t>
            </w:r>
            <w:r w:rsidR="003C7BCB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3103A4">
              <w:rPr>
                <w:rFonts w:cs="Calibri"/>
                <w:sz w:val="22"/>
                <w:szCs w:val="22"/>
                <w:lang w:val="en-GB"/>
              </w:rPr>
              <w:t xml:space="preserve">the ability to analyse discrimination law from a </w:t>
            </w:r>
            <w:r w:rsidRPr="000C55C9">
              <w:rPr>
                <w:rFonts w:cs="Calibri"/>
                <w:sz w:val="22"/>
                <w:szCs w:val="22"/>
                <w:lang w:val="en-GB"/>
              </w:rPr>
              <w:t>comparative perspective.</w:t>
            </w:r>
          </w:p>
          <w:p w14:paraId="4B28D500" w14:textId="5BC6CBC0" w:rsidR="003C7BCB" w:rsidRPr="003D2DDF" w:rsidRDefault="005719E0" w:rsidP="003C7BCB">
            <w:pPr>
              <w:spacing w:before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t xml:space="preserve">The course will </w:t>
            </w:r>
            <w:r w:rsidRPr="00D340DF">
              <w:rPr>
                <w:rFonts w:cs="Calibri"/>
                <w:sz w:val="22"/>
                <w:szCs w:val="22"/>
                <w:lang w:val="en-GB"/>
              </w:rPr>
              <w:t>enable students to</w:t>
            </w:r>
            <w:r w:rsidR="00D340DF" w:rsidRPr="00D340DF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D340DF">
              <w:rPr>
                <w:rFonts w:cs="Calibri"/>
                <w:sz w:val="22"/>
                <w:szCs w:val="22"/>
                <w:lang w:val="en-GB"/>
              </w:rPr>
              <w:t>carry out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D340DF" w:rsidRPr="00D340DF">
              <w:rPr>
                <w:rFonts w:cs="Calibri"/>
                <w:sz w:val="22"/>
                <w:szCs w:val="22"/>
                <w:lang w:val="en-GB"/>
              </w:rPr>
              <w:t>independent legal analysis of</w:t>
            </w:r>
            <w:r w:rsidR="00C00D96" w:rsidRPr="00D340DF">
              <w:rPr>
                <w:rFonts w:cs="Calibri"/>
                <w:sz w:val="22"/>
                <w:szCs w:val="22"/>
                <w:lang w:val="en-GB"/>
              </w:rPr>
              <w:t xml:space="preserve"> discrimination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 xml:space="preserve"> cases</w:t>
            </w:r>
            <w:r w:rsidR="00C00D96" w:rsidRPr="00D340DF">
              <w:rPr>
                <w:rFonts w:cs="Calibri"/>
                <w:sz w:val="22"/>
                <w:szCs w:val="22"/>
                <w:lang w:val="en-GB"/>
              </w:rPr>
              <w:t xml:space="preserve"> in </w:t>
            </w:r>
            <w:r w:rsidR="00D340DF" w:rsidRPr="00D340DF">
              <w:rPr>
                <w:rFonts w:cs="Calibri"/>
                <w:sz w:val="22"/>
                <w:szCs w:val="22"/>
                <w:lang w:val="en-GB"/>
              </w:rPr>
              <w:t>courts or other tribunals</w:t>
            </w:r>
            <w:r w:rsidR="00D340DF">
              <w:rPr>
                <w:rFonts w:cs="Calibri"/>
                <w:sz w:val="22"/>
                <w:szCs w:val="22"/>
                <w:lang w:val="en-GB"/>
              </w:rPr>
              <w:t>. Students will</w:t>
            </w:r>
            <w:r w:rsidR="0034218C">
              <w:rPr>
                <w:rFonts w:cs="Calibri"/>
                <w:sz w:val="22"/>
                <w:szCs w:val="22"/>
                <w:lang w:val="en-GB"/>
              </w:rPr>
              <w:t xml:space="preserve"> develop</w:t>
            </w:r>
            <w:r w:rsidR="00D340DF">
              <w:rPr>
                <w:rFonts w:cs="Calibri"/>
                <w:sz w:val="22"/>
                <w:szCs w:val="22"/>
                <w:lang w:val="en-GB"/>
              </w:rPr>
              <w:t xml:space="preserve"> a critical 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 xml:space="preserve">reflection of the legal </w:t>
            </w:r>
            <w:r w:rsidR="0034218C">
              <w:rPr>
                <w:rFonts w:cs="Calibri"/>
                <w:sz w:val="22"/>
                <w:szCs w:val="22"/>
                <w:lang w:val="en-GB"/>
              </w:rPr>
              <w:t>framework concerning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 xml:space="preserve"> protection against discrimination</w:t>
            </w:r>
            <w:r w:rsidR="0034218C">
              <w:rPr>
                <w:rFonts w:cs="Calibri"/>
                <w:sz w:val="22"/>
                <w:szCs w:val="22"/>
                <w:lang w:val="en-GB"/>
              </w:rPr>
              <w:t xml:space="preserve"> in Slovenia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>, the functioning of judicial and administrative institutions in this field, and</w:t>
            </w:r>
            <w:r w:rsidR="0034218C">
              <w:rPr>
                <w:rFonts w:cs="Calibri"/>
                <w:sz w:val="22"/>
                <w:szCs w:val="22"/>
                <w:lang w:val="en-GB"/>
              </w:rPr>
              <w:t xml:space="preserve"> they will be able to critically 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>evaluat</w:t>
            </w:r>
            <w:r w:rsidR="0034218C">
              <w:rPr>
                <w:rFonts w:cs="Calibri"/>
                <w:sz w:val="22"/>
                <w:szCs w:val="22"/>
                <w:lang w:val="en-GB"/>
              </w:rPr>
              <w:t>e t</w:t>
            </w:r>
            <w:r w:rsidR="000C55C9" w:rsidRPr="00D340DF">
              <w:rPr>
                <w:rFonts w:cs="Calibri"/>
                <w:sz w:val="22"/>
                <w:szCs w:val="22"/>
                <w:lang w:val="en-GB"/>
              </w:rPr>
              <w:t xml:space="preserve">he potential 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 xml:space="preserve">gap between </w:t>
            </w:r>
            <w:r w:rsidR="00097B81">
              <w:rPr>
                <w:rFonts w:cs="Calibri"/>
                <w:sz w:val="22"/>
                <w:szCs w:val="22"/>
                <w:lang w:val="en-GB"/>
              </w:rPr>
              <w:t xml:space="preserve">the </w:t>
            </w:r>
            <w:r w:rsidR="000C55C9" w:rsidRPr="00D340DF">
              <w:rPr>
                <w:rFonts w:cs="Calibri"/>
                <w:sz w:val="22"/>
                <w:szCs w:val="22"/>
                <w:lang w:val="en-GB"/>
              </w:rPr>
              <w:t>rights and duties provided by law</w:t>
            </w:r>
            <w:r w:rsidR="0034218C">
              <w:rPr>
                <w:rFonts w:cs="Calibri"/>
                <w:sz w:val="22"/>
                <w:szCs w:val="22"/>
                <w:lang w:val="en-GB"/>
              </w:rPr>
              <w:t xml:space="preserve"> in this field</w:t>
            </w:r>
            <w:r w:rsidR="003C7BCB" w:rsidRPr="00D340DF">
              <w:rPr>
                <w:rFonts w:cs="Calibri"/>
                <w:sz w:val="22"/>
                <w:szCs w:val="22"/>
                <w:lang w:val="en-GB"/>
              </w:rPr>
              <w:t xml:space="preserve"> and their implementation in practice.</w:t>
            </w:r>
          </w:p>
        </w:tc>
      </w:tr>
      <w:tr w:rsidR="00DC3EF9" w:rsidRPr="00624D9A" w14:paraId="5AA67131" w14:textId="77777777" w:rsidTr="00A90C15"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383AED" w14:textId="77777777" w:rsidR="00DC3EF9" w:rsidRDefault="00DC3EF9" w:rsidP="00624D9A">
            <w:pPr>
              <w:jc w:val="both"/>
              <w:rPr>
                <w:rFonts w:cs="Calibri"/>
                <w:b/>
              </w:rPr>
            </w:pPr>
          </w:p>
          <w:p w14:paraId="21398AEA" w14:textId="77777777" w:rsidR="000472E2" w:rsidRPr="00624D9A" w:rsidRDefault="000472E2" w:rsidP="00624D9A">
            <w:pPr>
              <w:jc w:val="both"/>
              <w:rPr>
                <w:rFonts w:cs="Calibri"/>
                <w:b/>
              </w:rPr>
            </w:pPr>
          </w:p>
          <w:p w14:paraId="3792ED61" w14:textId="77777777" w:rsidR="00DC3EF9" w:rsidRPr="00624D9A" w:rsidRDefault="00DC3EF9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Metode poučevanja in učenja: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AA968D3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71E2C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</w:p>
          <w:p w14:paraId="27BD6EAE" w14:textId="77777777" w:rsidR="000472E2" w:rsidRDefault="000472E2" w:rsidP="00624D9A">
            <w:pPr>
              <w:jc w:val="both"/>
              <w:rPr>
                <w:rFonts w:cs="Calibri"/>
                <w:b/>
              </w:rPr>
            </w:pPr>
          </w:p>
          <w:p w14:paraId="294BC3E2" w14:textId="77777777" w:rsidR="00DC3EF9" w:rsidRPr="00624D9A" w:rsidRDefault="00DC3EF9" w:rsidP="00624D9A">
            <w:pPr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Learning and teaching methods:</w:t>
            </w:r>
          </w:p>
        </w:tc>
      </w:tr>
      <w:tr w:rsidR="00DC3EF9" w:rsidRPr="00624D9A" w14:paraId="2CBF8443" w14:textId="77777777" w:rsidTr="00A90C15"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447" w14:textId="77777777" w:rsidR="00873237" w:rsidRDefault="007D71D3" w:rsidP="0058213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F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BC04EB" w:rsidRPr="00072F50">
              <w:rPr>
                <w:rFonts w:asciiTheme="minorHAnsi" w:hAnsiTheme="minorHAnsi" w:cstheme="minorHAnsi"/>
                <w:sz w:val="22"/>
                <w:szCs w:val="22"/>
              </w:rPr>
              <w:t>redavanja</w:t>
            </w:r>
            <w:r w:rsidR="0087323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C04EB" w:rsidRPr="00072F50">
              <w:rPr>
                <w:rFonts w:asciiTheme="minorHAnsi" w:hAnsiTheme="minorHAnsi" w:cstheme="minorHAnsi"/>
                <w:sz w:val="22"/>
                <w:szCs w:val="22"/>
              </w:rPr>
              <w:t>posredovanje temeljnih teoretičnih znanj</w:t>
            </w:r>
            <w:r w:rsidR="00524EBE">
              <w:rPr>
                <w:rFonts w:asciiTheme="minorHAnsi" w:hAnsiTheme="minorHAnsi" w:cstheme="minorHAnsi"/>
                <w:sz w:val="22"/>
                <w:szCs w:val="22"/>
              </w:rPr>
              <w:t xml:space="preserve"> in analiza pravne ureditve področja pri nas</w:t>
            </w:r>
            <w:r w:rsidR="008732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635603" w14:textId="6E8AB692" w:rsidR="00873237" w:rsidRDefault="00873237" w:rsidP="0058213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C04EB" w:rsidRPr="00072F50">
              <w:rPr>
                <w:rFonts w:asciiTheme="minorHAnsi" w:hAnsiTheme="minorHAnsi" w:cstheme="minorHAnsi"/>
                <w:sz w:val="22"/>
                <w:szCs w:val="22"/>
              </w:rPr>
              <w:t>eminar</w:t>
            </w:r>
            <w:r w:rsidR="00A34229">
              <w:rPr>
                <w:rFonts w:asciiTheme="minorHAnsi" w:hAnsiTheme="minorHAnsi" w:cstheme="minorHAnsi"/>
                <w:sz w:val="22"/>
                <w:szCs w:val="22"/>
              </w:rPr>
              <w:t>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24EBE">
              <w:rPr>
                <w:rFonts w:asciiTheme="minorHAnsi" w:hAnsiTheme="minorHAnsi" w:cstheme="minorHAnsi"/>
                <w:sz w:val="22"/>
                <w:szCs w:val="22"/>
              </w:rPr>
              <w:t xml:space="preserve">poglobljena </w:t>
            </w:r>
            <w:r w:rsidR="00BC04EB" w:rsidRPr="00072F50">
              <w:rPr>
                <w:rFonts w:asciiTheme="minorHAnsi" w:hAnsiTheme="minorHAnsi" w:cstheme="minorHAnsi"/>
                <w:sz w:val="22"/>
                <w:szCs w:val="22"/>
              </w:rPr>
              <w:t xml:space="preserve">analiza </w:t>
            </w:r>
            <w:r w:rsidR="007D71D3" w:rsidRPr="00072F50">
              <w:rPr>
                <w:rFonts w:asciiTheme="minorHAnsi" w:hAnsiTheme="minorHAnsi" w:cstheme="minorHAnsi"/>
                <w:sz w:val="22"/>
                <w:szCs w:val="22"/>
              </w:rPr>
              <w:t>izbranih</w:t>
            </w:r>
            <w:r w:rsidR="00524EBE">
              <w:rPr>
                <w:rFonts w:asciiTheme="minorHAnsi" w:hAnsiTheme="minorHAnsi" w:cstheme="minorHAnsi"/>
                <w:sz w:val="22"/>
                <w:szCs w:val="22"/>
              </w:rPr>
              <w:t xml:space="preserve"> sodnih odločb</w:t>
            </w:r>
            <w:r w:rsidR="007D71D3" w:rsidRPr="00072F50">
              <w:rPr>
                <w:rFonts w:asciiTheme="minorHAnsi" w:hAnsiTheme="minorHAnsi" w:cstheme="minorHAnsi"/>
                <w:sz w:val="22"/>
                <w:szCs w:val="22"/>
              </w:rPr>
              <w:t xml:space="preserve"> in obravnavanje</w:t>
            </w:r>
            <w:r w:rsidR="00524EBE">
              <w:rPr>
                <w:rFonts w:asciiTheme="minorHAnsi" w:hAnsiTheme="minorHAnsi" w:cstheme="minorHAnsi"/>
                <w:sz w:val="22"/>
                <w:szCs w:val="22"/>
              </w:rPr>
              <w:t xml:space="preserve"> drugih</w:t>
            </w:r>
            <w:r w:rsidR="007D71D3" w:rsidRPr="00072F50">
              <w:rPr>
                <w:rFonts w:asciiTheme="minorHAnsi" w:hAnsiTheme="minorHAnsi" w:cstheme="minorHAnsi"/>
                <w:sz w:val="22"/>
                <w:szCs w:val="22"/>
              </w:rPr>
              <w:t xml:space="preserve"> študij primerov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678057F3" w14:textId="64263B5E" w:rsidR="00873237" w:rsidRDefault="00873237" w:rsidP="00582134">
            <w:pPr>
              <w:spacing w:before="120" w:after="120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D71D3" w:rsidRPr="00072F50">
              <w:rPr>
                <w:rFonts w:asciiTheme="minorHAnsi" w:hAnsiTheme="minorHAnsi" w:cstheme="minorHAnsi"/>
                <w:sz w:val="22"/>
                <w:szCs w:val="22"/>
              </w:rPr>
              <w:t>amostojno</w:t>
            </w:r>
            <w:r w:rsidR="00EC4E21">
              <w:rPr>
                <w:rFonts w:asciiTheme="minorHAnsi" w:hAnsiTheme="minorHAnsi" w:cstheme="minorHAnsi"/>
                <w:sz w:val="22"/>
                <w:szCs w:val="22"/>
              </w:rPr>
              <w:t xml:space="preserve"> (projektno) </w:t>
            </w:r>
            <w:r w:rsidR="007D71D3" w:rsidRPr="00072F50">
              <w:rPr>
                <w:rFonts w:asciiTheme="minorHAnsi" w:hAnsiTheme="minorHAnsi" w:cstheme="minorHAnsi"/>
                <w:sz w:val="22"/>
                <w:szCs w:val="22"/>
              </w:rPr>
              <w:t>delo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82134">
              <w:rPr>
                <w:rFonts w:asciiTheme="minorHAnsi" w:hAnsiTheme="minorHAnsi" w:cstheme="minorHAnsi"/>
                <w:sz w:val="22"/>
                <w:szCs w:val="22"/>
              </w:rPr>
              <w:t>priprava občasnih</w:t>
            </w:r>
            <w:r w:rsidR="008F3F93">
              <w:rPr>
                <w:rFonts w:asciiTheme="minorHAnsi" w:hAnsiTheme="minorHAnsi" w:cstheme="minorHAnsi"/>
                <w:sz w:val="22"/>
                <w:szCs w:val="22"/>
              </w:rPr>
              <w:t xml:space="preserve"> kratkih </w:t>
            </w:r>
            <w:r w:rsidR="006B0B40">
              <w:rPr>
                <w:rFonts w:asciiTheme="minorHAnsi" w:hAnsiTheme="minorHAnsi" w:cstheme="minorHAnsi"/>
                <w:sz w:val="22"/>
                <w:szCs w:val="22"/>
              </w:rPr>
              <w:t>raziskovalnih poizvedb</w:t>
            </w:r>
            <w:r w:rsidR="008F3F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0B40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8F3F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reakcijskih esejev.</w:t>
            </w:r>
          </w:p>
          <w:p w14:paraId="3E515891" w14:textId="2892C9CE" w:rsidR="007D71D3" w:rsidRPr="004A2431" w:rsidRDefault="00873237" w:rsidP="0058213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3237">
              <w:rPr>
                <w:rFonts w:asciiTheme="minorHAnsi" w:hAnsiTheme="minorHAnsi" w:cstheme="minorHAnsi"/>
                <w:sz w:val="22"/>
                <w:szCs w:val="22"/>
              </w:rPr>
              <w:t xml:space="preserve">Spletna učilnica (Moodle platforma): ponavljanje obveznih vsebin v obliki sprotnih kvizov, ki so na voljo za individualno reševanje; uporaba foruma za spodbujanje moderirane medsebojne komunikacije med študenti glede zahtevnejših vprašanj.   </w:t>
            </w:r>
            <w:r w:rsidR="00BC04EB" w:rsidRPr="00072F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E81" w14:textId="77777777" w:rsidR="00DC3EF9" w:rsidRPr="00C37F67" w:rsidRDefault="00DC3EF9" w:rsidP="00624D9A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14:paraId="3A64EDCF" w14:textId="77777777" w:rsidR="00DC3EF9" w:rsidRPr="00C37F67" w:rsidRDefault="00DC3EF9" w:rsidP="00624D9A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DB7" w14:textId="77777777" w:rsidR="00873237" w:rsidRPr="00873237" w:rsidRDefault="00873237" w:rsidP="0087323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Lectures: the general concepts and insights of the course contents are conveyed to the students thoroughly and systematically.</w:t>
            </w:r>
          </w:p>
          <w:p w14:paraId="1B4EFBCB" w14:textId="5F8AE547" w:rsidR="00873237" w:rsidRPr="00873237" w:rsidRDefault="00873237" w:rsidP="0087323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Seminar</w:t>
            </w:r>
            <w:r w:rsidR="00A342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problem analysis of theoretical and practical materials provided by the teacher accompanied by interactive discussions of the issues raised in the process of analysis.</w:t>
            </w:r>
          </w:p>
          <w:p w14:paraId="2802D813" w14:textId="5A3080FE" w:rsidR="00DC3EF9" w:rsidRPr="00873237" w:rsidRDefault="00EC4E21" w:rsidP="0087323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Individual (p</w:t>
            </w:r>
            <w:r w:rsidR="00873237"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roject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873237"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work: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occasional </w:t>
            </w:r>
            <w:r w:rsidR="00873237"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guided individual work of students 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short </w:t>
            </w:r>
            <w:r w:rsidRPr="00EC4E2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inquir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ies</w:t>
            </w:r>
            <w:r w:rsidRPr="00EC4E2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 reaction papers</w:t>
            </w:r>
            <w:r w:rsidR="00873237"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4D03FAF6" w14:textId="22549FDB" w:rsidR="00873237" w:rsidRPr="00DF2E73" w:rsidRDefault="00873237" w:rsidP="0087323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3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Online classroom (Moodle platform): administering online class quizzes available to students for individual reviewing of the contents presented at the lectures; moderating an online forum to facilitate discussion among students on the more difficult theoretical issues.</w:t>
            </w:r>
            <w:r w:rsidRPr="0087323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624D9A" w:rsidRPr="00624D9A" w14:paraId="7331F439" w14:textId="77777777" w:rsidTr="00A90C15"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1D076" w14:textId="77777777" w:rsidR="00A50E9D" w:rsidRDefault="00A50E9D" w:rsidP="00624D9A">
            <w:pPr>
              <w:jc w:val="both"/>
              <w:rPr>
                <w:rFonts w:cs="Calibri"/>
                <w:b/>
              </w:rPr>
            </w:pPr>
          </w:p>
          <w:p w14:paraId="59E71BB4" w14:textId="77777777" w:rsidR="00624D9A" w:rsidRPr="00624D9A" w:rsidRDefault="00624D9A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  <w:b/>
              </w:rPr>
              <w:t>Način ocenjevanja: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121EA441" w14:textId="77777777" w:rsidR="00624D9A" w:rsidRPr="00624D9A" w:rsidRDefault="00624D9A" w:rsidP="00624D9A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901F9D" w14:textId="77777777" w:rsidR="00A50E9D" w:rsidRDefault="00A50E9D" w:rsidP="00624D9A">
            <w:pPr>
              <w:pStyle w:val="Odstavekseznama"/>
              <w:ind w:left="360" w:hanging="36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019A740" w14:textId="77777777" w:rsidR="00624D9A" w:rsidRPr="00624D9A" w:rsidRDefault="00624D9A" w:rsidP="00624D9A">
            <w:pPr>
              <w:pStyle w:val="Odstavekseznama"/>
              <w:ind w:left="360" w:hanging="36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24D9A">
              <w:rPr>
                <w:rFonts w:asciiTheme="minorHAnsi" w:hAnsiTheme="minorHAnsi" w:cstheme="minorHAnsi"/>
                <w:b/>
                <w:lang w:val="en-US"/>
              </w:rPr>
              <w:t>Assessment:</w:t>
            </w:r>
          </w:p>
        </w:tc>
      </w:tr>
      <w:tr w:rsidR="00624D9A" w:rsidRPr="00624D9A" w14:paraId="0B244FFD" w14:textId="77777777" w:rsidTr="00A90C15"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75C" w14:textId="77777777" w:rsidR="00471EC2" w:rsidRPr="00471EC2" w:rsidRDefault="00471EC2" w:rsidP="00471EC2">
            <w:pPr>
              <w:spacing w:before="120"/>
              <w:jc w:val="both"/>
              <w:rPr>
                <w:rFonts w:cs="Calibri"/>
                <w:sz w:val="22"/>
                <w:szCs w:val="22"/>
              </w:rPr>
            </w:pPr>
            <w:r w:rsidRPr="00471EC2">
              <w:rPr>
                <w:rFonts w:cs="Calibri"/>
                <w:sz w:val="22"/>
                <w:szCs w:val="22"/>
              </w:rPr>
              <w:t>Pisni izpit.</w:t>
            </w:r>
          </w:p>
          <w:p w14:paraId="1345A1ED" w14:textId="77777777" w:rsidR="003473AD" w:rsidRDefault="00471EC2" w:rsidP="003473AD">
            <w:pPr>
              <w:spacing w:before="120"/>
              <w:jc w:val="both"/>
              <w:rPr>
                <w:rFonts w:cs="Calibri"/>
                <w:sz w:val="22"/>
                <w:szCs w:val="22"/>
              </w:rPr>
            </w:pPr>
            <w:r w:rsidRPr="00471EC2">
              <w:rPr>
                <w:rFonts w:cs="Calibri"/>
                <w:sz w:val="22"/>
                <w:szCs w:val="22"/>
              </w:rPr>
              <w:t xml:space="preserve">Ustni zagovor – fakultativno: študent oz. študentka se prosto odloči, ali bo pristopil/-a k ustnemu zagovoru. Pristopijo lahko vsi, ki so pisni del opravili pozitivno. V primeru pristopa predstavlja ustni zagovor petino (20 %) vrednosti končne ocene. </w:t>
            </w:r>
          </w:p>
          <w:p w14:paraId="1E88FC62" w14:textId="2069BB5D" w:rsidR="00C7346F" w:rsidRPr="003473AD" w:rsidRDefault="00471EC2" w:rsidP="003473AD">
            <w:pPr>
              <w:spacing w:before="120"/>
              <w:jc w:val="both"/>
              <w:rPr>
                <w:rFonts w:cs="Calibri"/>
                <w:sz w:val="22"/>
                <w:szCs w:val="22"/>
              </w:rPr>
            </w:pPr>
            <w:r w:rsidRPr="003473AD">
              <w:rPr>
                <w:rFonts w:cs="Calibri"/>
                <w:sz w:val="22"/>
                <w:szCs w:val="22"/>
              </w:rPr>
              <w:t>Izpit se oceni z ocenjevalno lestvico od 5 - 10: od 6-10 (pozitivno) oziroma 5 (negativno); ob upoštevanju Statuta UL in Pravil Pravne fakultete.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A0E" w14:textId="77777777" w:rsidR="00624D9A" w:rsidRPr="00C37F67" w:rsidRDefault="00624D9A" w:rsidP="00624D9A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14:paraId="28597562" w14:textId="77777777" w:rsidR="00624D9A" w:rsidRPr="00C37F67" w:rsidRDefault="00624D9A" w:rsidP="00624D9A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BFA" w14:textId="77777777" w:rsidR="00471EC2" w:rsidRPr="003473AD" w:rsidRDefault="00471EC2" w:rsidP="003473AD">
            <w:pPr>
              <w:pStyle w:val="Brezrazmikov"/>
              <w:spacing w:before="120"/>
              <w:jc w:val="both"/>
              <w:rPr>
                <w:rFonts w:asciiTheme="minorHAnsi" w:hAnsiTheme="minorHAnsi" w:cstheme="minorHAnsi"/>
                <w:lang w:val="en-GB"/>
              </w:rPr>
            </w:pPr>
            <w:r w:rsidRPr="003473AD">
              <w:rPr>
                <w:rFonts w:asciiTheme="minorHAnsi" w:hAnsiTheme="minorHAnsi" w:cstheme="minorHAnsi"/>
                <w:lang w:val="en-GB"/>
              </w:rPr>
              <w:t>Written exam.</w:t>
            </w:r>
          </w:p>
          <w:p w14:paraId="1B420BF3" w14:textId="77777777" w:rsidR="00471EC2" w:rsidRPr="003473AD" w:rsidRDefault="00471EC2" w:rsidP="003473AD">
            <w:pPr>
              <w:pStyle w:val="Brezrazmikov"/>
              <w:spacing w:before="120"/>
              <w:jc w:val="both"/>
              <w:rPr>
                <w:rFonts w:asciiTheme="minorHAnsi" w:hAnsiTheme="minorHAnsi" w:cstheme="minorHAnsi"/>
                <w:lang w:val="en-GB"/>
              </w:rPr>
            </w:pPr>
            <w:r w:rsidRPr="003473AD">
              <w:rPr>
                <w:rFonts w:asciiTheme="minorHAnsi" w:hAnsiTheme="minorHAnsi" w:cstheme="minorHAnsi"/>
                <w:lang w:val="en-GB"/>
              </w:rPr>
              <w:t xml:space="preserve">Oral exam – voluntary: students decide voluntarily if they want to attend the oral part of the exam; however, a student may only attend the oral part of the exam if he/she successfully passed the written part of the exam. The oral exam, if taken, will comprise of one-fifth (20 %) of the total grade. </w:t>
            </w:r>
          </w:p>
          <w:p w14:paraId="0AF8F038" w14:textId="4FD132DB" w:rsidR="00624D9A" w:rsidRPr="00DF2E73" w:rsidRDefault="00471EC2" w:rsidP="003473AD">
            <w:pPr>
              <w:pStyle w:val="Brezrazmikov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3473AD">
              <w:rPr>
                <w:rFonts w:asciiTheme="minorHAnsi" w:hAnsiTheme="minorHAnsi" w:cstheme="minorHAnsi"/>
                <w:lang w:val="en-GB"/>
              </w:rPr>
              <w:t>The final examination is graded from 5-10: 6-10 (pass) and 5 (fail), in accordance with the Statute of the University of Ljubljana and the Rules of the Faculty of Law.</w:t>
            </w:r>
          </w:p>
        </w:tc>
      </w:tr>
    </w:tbl>
    <w:p w14:paraId="0B1D66DE" w14:textId="77777777" w:rsidR="00DC3EF9" w:rsidRPr="00DF2E73" w:rsidRDefault="00DC3EF9" w:rsidP="00DC3EF9">
      <w:pPr>
        <w:rPr>
          <w:rFonts w:ascii="Arial" w:hAnsi="Arial" w:cs="Arial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417900" w:rsidRPr="00624D9A" w14:paraId="5792D8CD" w14:textId="77777777" w:rsidTr="00357D07">
        <w:tc>
          <w:tcPr>
            <w:tcW w:w="9690" w:type="dxa"/>
          </w:tcPr>
          <w:p w14:paraId="020010D8" w14:textId="77777777" w:rsidR="00417900" w:rsidRPr="00624D9A" w:rsidRDefault="00417900" w:rsidP="00CC1E2B">
            <w:pPr>
              <w:spacing w:after="120"/>
              <w:jc w:val="both"/>
              <w:rPr>
                <w:rFonts w:cs="Calibri"/>
                <w:b/>
              </w:rPr>
            </w:pPr>
            <w:r w:rsidRPr="00624D9A">
              <w:rPr>
                <w:rFonts w:cs="Calibri"/>
              </w:rPr>
              <w:br w:type="page"/>
            </w:r>
            <w:r>
              <w:rPr>
                <w:rFonts w:cs="Calibri"/>
                <w:b/>
              </w:rPr>
              <w:t>Reference nosilca</w:t>
            </w:r>
            <w:r w:rsidRPr="00624D9A">
              <w:rPr>
                <w:rFonts w:cs="Calibri"/>
                <w:b/>
              </w:rPr>
              <w:t xml:space="preserve"> / </w:t>
            </w:r>
            <w:r w:rsidRPr="00417900">
              <w:rPr>
                <w:rFonts w:cs="Calibri"/>
                <w:b/>
              </w:rPr>
              <w:t>Lecturer's references:</w:t>
            </w:r>
          </w:p>
        </w:tc>
      </w:tr>
      <w:tr w:rsidR="00417900" w:rsidRPr="00624D9A" w14:paraId="16786C52" w14:textId="77777777" w:rsidTr="00357D07">
        <w:trPr>
          <w:trHeight w:val="2074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E39" w14:textId="74D10ED4" w:rsidR="00417900" w:rsidRPr="00C37F67" w:rsidRDefault="00F616C7" w:rsidP="00873237">
            <w:pPr>
              <w:pStyle w:val="Sprotnaopomba-besedilo"/>
              <w:numPr>
                <w:ilvl w:val="0"/>
                <w:numId w:val="1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7F67">
              <w:rPr>
                <w:rFonts w:asciiTheme="minorHAnsi" w:hAnsiTheme="minorHAnsi" w:cstheme="minorHAnsi"/>
                <w:sz w:val="22"/>
                <w:szCs w:val="22"/>
              </w:rPr>
              <w:t>Štajnpihler</w:t>
            </w:r>
            <w:r w:rsidR="00417900" w:rsidRPr="00C37F67">
              <w:rPr>
                <w:rFonts w:asciiTheme="minorHAnsi" w:hAnsiTheme="minorHAnsi" w:cstheme="minorHAnsi"/>
                <w:sz w:val="22"/>
                <w:szCs w:val="22"/>
              </w:rPr>
              <w:t xml:space="preserve">, Tilen. Prepoved diskriminacije v pravu varstva potrošnikov. V: </w:t>
            </w:r>
            <w:r w:rsidRPr="00C37F67">
              <w:rPr>
                <w:rFonts w:asciiTheme="minorHAnsi" w:hAnsiTheme="minorHAnsi" w:cstheme="minorHAnsi"/>
                <w:sz w:val="22"/>
                <w:szCs w:val="22"/>
              </w:rPr>
              <w:t>Vlahek</w:t>
            </w:r>
            <w:r w:rsidR="00417900" w:rsidRPr="00C37F67">
              <w:rPr>
                <w:rFonts w:asciiTheme="minorHAnsi" w:hAnsiTheme="minorHAnsi" w:cstheme="minorHAnsi"/>
                <w:sz w:val="22"/>
                <w:szCs w:val="22"/>
              </w:rPr>
              <w:t xml:space="preserve">, Ana (ur.), </w:t>
            </w:r>
            <w:r w:rsidRPr="00C37F67">
              <w:rPr>
                <w:rFonts w:asciiTheme="minorHAnsi" w:hAnsiTheme="minorHAnsi" w:cstheme="minorHAnsi"/>
                <w:sz w:val="22"/>
                <w:szCs w:val="22"/>
              </w:rPr>
              <w:t>Damjan</w:t>
            </w:r>
            <w:r w:rsidR="00417900" w:rsidRPr="00C37F67">
              <w:rPr>
                <w:rFonts w:asciiTheme="minorHAnsi" w:hAnsiTheme="minorHAnsi" w:cstheme="minorHAnsi"/>
                <w:sz w:val="22"/>
                <w:szCs w:val="22"/>
              </w:rPr>
              <w:t xml:space="preserve">, Matija (ur.), </w:t>
            </w:r>
            <w:r w:rsidRPr="00C37F67">
              <w:rPr>
                <w:rFonts w:asciiTheme="minorHAnsi" w:hAnsiTheme="minorHAnsi" w:cstheme="minorHAnsi"/>
                <w:sz w:val="22"/>
                <w:szCs w:val="22"/>
              </w:rPr>
              <w:t>Ahtik</w:t>
            </w:r>
            <w:r w:rsidR="00417900" w:rsidRPr="00C37F67">
              <w:rPr>
                <w:rFonts w:asciiTheme="minorHAnsi" w:hAnsiTheme="minorHAnsi" w:cstheme="minorHAnsi"/>
                <w:sz w:val="22"/>
                <w:szCs w:val="22"/>
              </w:rPr>
              <w:t>, Meta. Pravo in politika sodobnega varstva potrošnikov. 1. natis. Ljubljana: IUS Software, GV založba: Inštitut za primerjalno pravo pri Pravni fakulteti, 2015, str. 67-110, 477, 489. [COBISS.SI-ID 14654545]</w:t>
            </w:r>
            <w:r w:rsidR="004A0F79" w:rsidRPr="00C37F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1AF4E3" w14:textId="0D38B00C" w:rsidR="004A0F79" w:rsidRPr="00C37F67" w:rsidRDefault="00F616C7" w:rsidP="00873237">
            <w:pPr>
              <w:pStyle w:val="Sprotnaopomba-besedilo"/>
              <w:numPr>
                <w:ilvl w:val="0"/>
                <w:numId w:val="1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2E8">
              <w:rPr>
                <w:rFonts w:asciiTheme="minorHAnsi" w:hAnsiTheme="minorHAnsi" w:cstheme="minorHAnsi"/>
                <w:sz w:val="22"/>
                <w:szCs w:val="22"/>
              </w:rPr>
              <w:t>Štajnpihler Božič</w:t>
            </w:r>
            <w:r w:rsidR="007802E8" w:rsidRPr="007802E8">
              <w:rPr>
                <w:rFonts w:asciiTheme="minorHAnsi" w:hAnsiTheme="minorHAnsi" w:cstheme="minorHAnsi"/>
                <w:sz w:val="22"/>
                <w:szCs w:val="22"/>
              </w:rPr>
              <w:t xml:space="preserve">, Tilen. Domet prava varstva pred diskriminacijo. V: </w:t>
            </w:r>
            <w:r w:rsidRPr="007802E8">
              <w:rPr>
                <w:rFonts w:asciiTheme="minorHAnsi" w:hAnsiTheme="minorHAnsi" w:cstheme="minorHAnsi"/>
                <w:sz w:val="22"/>
                <w:szCs w:val="22"/>
              </w:rPr>
              <w:t>Štajnpihler Božič</w:t>
            </w:r>
            <w:r w:rsidR="007802E8" w:rsidRPr="007802E8">
              <w:rPr>
                <w:rFonts w:asciiTheme="minorHAnsi" w:hAnsiTheme="minorHAnsi" w:cstheme="minorHAnsi"/>
                <w:sz w:val="22"/>
                <w:szCs w:val="22"/>
              </w:rPr>
              <w:t xml:space="preserve">, Tilen (ur.), </w:t>
            </w:r>
            <w:r w:rsidRPr="007802E8">
              <w:rPr>
                <w:rFonts w:asciiTheme="minorHAnsi" w:hAnsiTheme="minorHAnsi" w:cstheme="minorHAnsi"/>
                <w:sz w:val="22"/>
                <w:szCs w:val="22"/>
              </w:rPr>
              <w:t>Mišič</w:t>
            </w:r>
            <w:r w:rsidR="007802E8" w:rsidRPr="007802E8">
              <w:rPr>
                <w:rFonts w:asciiTheme="minorHAnsi" w:hAnsiTheme="minorHAnsi" w:cstheme="minorHAnsi"/>
                <w:sz w:val="22"/>
                <w:szCs w:val="22"/>
              </w:rPr>
              <w:t>, Luka (ur.). Od sistemske diskriminacije k polni enakopravnosti? : položaj LGBT-oseb, parov in njihovih družin ob uveljavitvi Zakona o partnerski zvezi : [posebna številka revije Pravnik], (Pravnik, ISSN 0032-6976, letn. 72, pos. št. 1). Ljubljana: Zveza društev pravnikov Slovenije. 2017, letn. 72, pos. št. 1, str. 75-88, 107-108. [COBISS.SI-ID 15541073]</w:t>
            </w:r>
          </w:p>
          <w:p w14:paraId="35317CAF" w14:textId="663CBDAB" w:rsidR="00417900" w:rsidRDefault="00F616C7" w:rsidP="00873237">
            <w:pPr>
              <w:pStyle w:val="Sprotnaopomba-besedilo"/>
              <w:numPr>
                <w:ilvl w:val="0"/>
                <w:numId w:val="1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16C7">
              <w:rPr>
                <w:rFonts w:asciiTheme="minorHAnsi" w:hAnsiTheme="minorHAnsi" w:cstheme="minorHAnsi"/>
                <w:sz w:val="22"/>
                <w:szCs w:val="22"/>
              </w:rPr>
              <w:t>Štajnpihler Božič, Tilen. Putting gender through law school : reflections on legal education and gender equality in Slovenia. Diritto &amp; questioni pubbliche : rivista di filosofia del diritro e cultura giuridica, ISSN 1825-0173, 2021, vol. 21, no. 1, str. 119-136. [COBISS.SI-ID 88251395]</w:t>
            </w:r>
          </w:p>
          <w:p w14:paraId="7807B6AA" w14:textId="32F3D8CC" w:rsidR="00F3057E" w:rsidRDefault="00F3057E" w:rsidP="00873237">
            <w:pPr>
              <w:pStyle w:val="Sprotnaopomba-besedilo"/>
              <w:numPr>
                <w:ilvl w:val="0"/>
                <w:numId w:val="1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05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Štajnpihler Božič, Tilen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F3057E">
              <w:rPr>
                <w:rFonts w:asciiTheme="minorHAnsi" w:hAnsiTheme="minorHAnsi" w:cstheme="minorHAnsi"/>
                <w:sz w:val="22"/>
                <w:szCs w:val="22"/>
              </w:rPr>
              <w:t xml:space="preserve"> Skočir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Manja</w:t>
            </w:r>
            <w:r w:rsidRPr="00F3057E">
              <w:rPr>
                <w:rFonts w:asciiTheme="minorHAnsi" w:hAnsiTheme="minorHAnsi" w:cstheme="minorHAnsi"/>
                <w:sz w:val="22"/>
                <w:szCs w:val="22"/>
              </w:rPr>
              <w:t>. Triage and the underlying principles of discrimination law. V</w:t>
            </w:r>
            <w:r w:rsidR="002836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750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5049" w:rsidRPr="00275049">
              <w:rPr>
                <w:rFonts w:asciiTheme="minorHAnsi" w:hAnsiTheme="minorHAnsi" w:cstheme="minorHAnsi"/>
                <w:sz w:val="22"/>
                <w:szCs w:val="22"/>
              </w:rPr>
              <w:t>Renata Salecl</w:t>
            </w:r>
            <w:r w:rsidR="00275049">
              <w:rPr>
                <w:rFonts w:asciiTheme="minorHAnsi" w:hAnsiTheme="minorHAnsi" w:cstheme="minorHAnsi"/>
                <w:sz w:val="22"/>
                <w:szCs w:val="22"/>
              </w:rPr>
              <w:t xml:space="preserve"> (ur.):</w:t>
            </w:r>
            <w:r w:rsidRPr="00F305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3695">
              <w:rPr>
                <w:rFonts w:asciiTheme="minorHAnsi" w:hAnsiTheme="minorHAnsi" w:cstheme="minorHAnsi"/>
                <w:sz w:val="22"/>
                <w:szCs w:val="22"/>
              </w:rPr>
              <w:t>Legal, ethical and medical aspects of triage: whom to save during a pandemic?</w:t>
            </w:r>
            <w:r w:rsidRPr="00F3057E">
              <w:rPr>
                <w:rFonts w:asciiTheme="minorHAnsi" w:hAnsiTheme="minorHAnsi" w:cstheme="minorHAnsi"/>
                <w:sz w:val="22"/>
                <w:szCs w:val="22"/>
              </w:rPr>
              <w:t>,  Springer</w:t>
            </w:r>
            <w:r w:rsidR="002750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8236E">
              <w:rPr>
                <w:rFonts w:asciiTheme="minorHAnsi" w:hAnsiTheme="minorHAnsi" w:cstheme="minorHAnsi"/>
                <w:sz w:val="22"/>
                <w:szCs w:val="22"/>
              </w:rPr>
              <w:t xml:space="preserve"> 2024,</w:t>
            </w:r>
            <w:r w:rsidR="00275049">
              <w:rPr>
                <w:rFonts w:asciiTheme="minorHAnsi" w:hAnsiTheme="minorHAnsi" w:cstheme="minorHAnsi"/>
                <w:sz w:val="22"/>
                <w:szCs w:val="22"/>
              </w:rPr>
              <w:t xml:space="preserve"> str. </w:t>
            </w:r>
            <w:r w:rsidR="00275049" w:rsidRPr="00F3057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7504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75049" w:rsidRPr="00F3057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="002750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3695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="00283695" w:rsidRPr="00283695">
              <w:rPr>
                <w:rFonts w:asciiTheme="minorHAnsi" w:hAnsiTheme="minorHAnsi" w:cstheme="minorHAnsi"/>
                <w:sz w:val="22"/>
                <w:szCs w:val="22"/>
              </w:rPr>
              <w:t>216148739</w:t>
            </w:r>
            <w:r w:rsidR="0028369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5874E72" w14:textId="5ACCA5F6" w:rsidR="00EB3AB1" w:rsidRPr="00C37F67" w:rsidRDefault="00EB3AB1" w:rsidP="00873237">
            <w:pPr>
              <w:pStyle w:val="Sprotnaopomba-besedilo"/>
              <w:numPr>
                <w:ilvl w:val="0"/>
                <w:numId w:val="1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B1">
              <w:rPr>
                <w:rFonts w:asciiTheme="minorHAnsi" w:hAnsiTheme="minorHAnsi" w:cstheme="minorHAnsi"/>
                <w:sz w:val="22"/>
                <w:szCs w:val="22"/>
              </w:rPr>
              <w:t>Štajnpihler Božič, Tilen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3AB1">
              <w:rPr>
                <w:rFonts w:asciiTheme="minorHAnsi" w:hAnsiTheme="minorHAnsi" w:cstheme="minorHAnsi"/>
                <w:sz w:val="22"/>
                <w:szCs w:val="22"/>
              </w:rPr>
              <w:t xml:space="preserve"> Uravnoteževanje (sodne) oblasti: razumevanje vloge spola v sodstvu. Teorija in praksa: revija za družbena vprašanja. 2024, letn. 61, št. 4, str. 1031-1055, ISSN 0040-3598. DOI: 10.51936/tip.61.4.1031. 2018, str. 109-130.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EB3AB1">
              <w:rPr>
                <w:rFonts w:asciiTheme="minorHAnsi" w:hAnsiTheme="minorHAnsi" w:cstheme="minorHAnsi"/>
                <w:sz w:val="22"/>
                <w:szCs w:val="22"/>
              </w:rPr>
              <w:t>222369283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68925B5" w14:textId="77777777" w:rsidR="00417900" w:rsidRPr="00C37F67" w:rsidRDefault="00417900" w:rsidP="00357D07">
            <w:pPr>
              <w:pStyle w:val="Sprotnaopomba-besedil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037EB" w14:textId="77777777" w:rsidR="006C70BA" w:rsidRDefault="006C70BA"/>
    <w:sectPr w:rsidR="006C70BA" w:rsidSect="00724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82D"/>
    <w:multiLevelType w:val="hybridMultilevel"/>
    <w:tmpl w:val="922C497E"/>
    <w:lvl w:ilvl="0" w:tplc="204444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50F7"/>
    <w:multiLevelType w:val="hybridMultilevel"/>
    <w:tmpl w:val="9F589D46"/>
    <w:lvl w:ilvl="0" w:tplc="597AF97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820"/>
    <w:multiLevelType w:val="hybridMultilevel"/>
    <w:tmpl w:val="13145962"/>
    <w:lvl w:ilvl="0" w:tplc="2648E3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453FC"/>
    <w:multiLevelType w:val="multilevel"/>
    <w:tmpl w:val="C72EB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376A"/>
    <w:multiLevelType w:val="hybridMultilevel"/>
    <w:tmpl w:val="1CAA0C3C"/>
    <w:lvl w:ilvl="0" w:tplc="597AF97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51443"/>
    <w:multiLevelType w:val="hybridMultilevel"/>
    <w:tmpl w:val="13F85570"/>
    <w:lvl w:ilvl="0" w:tplc="597AF97C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A2F5E"/>
    <w:multiLevelType w:val="hybridMultilevel"/>
    <w:tmpl w:val="B4C6B480"/>
    <w:lvl w:ilvl="0" w:tplc="597AF97C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AD2DCF"/>
    <w:multiLevelType w:val="hybridMultilevel"/>
    <w:tmpl w:val="A1FCE6A6"/>
    <w:lvl w:ilvl="0" w:tplc="23B8A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3140"/>
    <w:multiLevelType w:val="multilevel"/>
    <w:tmpl w:val="4E9AF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316FC6"/>
    <w:multiLevelType w:val="hybridMultilevel"/>
    <w:tmpl w:val="771AB608"/>
    <w:lvl w:ilvl="0" w:tplc="69706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A21F0"/>
    <w:multiLevelType w:val="hybridMultilevel"/>
    <w:tmpl w:val="59C44384"/>
    <w:lvl w:ilvl="0" w:tplc="597AF97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13978"/>
    <w:multiLevelType w:val="multilevel"/>
    <w:tmpl w:val="B47EDA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5340D7"/>
    <w:multiLevelType w:val="multilevel"/>
    <w:tmpl w:val="291A5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BA2689"/>
    <w:multiLevelType w:val="hybridMultilevel"/>
    <w:tmpl w:val="BA40E37C"/>
    <w:lvl w:ilvl="0" w:tplc="0424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0" w:hanging="360"/>
      </w:pPr>
    </w:lvl>
    <w:lvl w:ilvl="2" w:tplc="0424001B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1E15857"/>
    <w:multiLevelType w:val="multilevel"/>
    <w:tmpl w:val="7E08939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904BEF"/>
    <w:multiLevelType w:val="multilevel"/>
    <w:tmpl w:val="4E9AF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131D9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2C239E"/>
    <w:multiLevelType w:val="multilevel"/>
    <w:tmpl w:val="C51A28C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6AE73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265327"/>
    <w:multiLevelType w:val="hybridMultilevel"/>
    <w:tmpl w:val="133EA5AE"/>
    <w:lvl w:ilvl="0" w:tplc="69706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01AF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493AC1"/>
    <w:multiLevelType w:val="multilevel"/>
    <w:tmpl w:val="82627D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7E8C0E02"/>
    <w:multiLevelType w:val="multilevel"/>
    <w:tmpl w:val="4796DC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31777025">
    <w:abstractNumId w:val="6"/>
  </w:num>
  <w:num w:numId="2" w16cid:durableId="1183208695">
    <w:abstractNumId w:val="5"/>
  </w:num>
  <w:num w:numId="3" w16cid:durableId="1945264119">
    <w:abstractNumId w:val="13"/>
  </w:num>
  <w:num w:numId="4" w16cid:durableId="20130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513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2459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056353">
    <w:abstractNumId w:val="8"/>
  </w:num>
  <w:num w:numId="8" w16cid:durableId="93999088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585777">
    <w:abstractNumId w:val="17"/>
  </w:num>
  <w:num w:numId="10" w16cid:durableId="2062903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6818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499216">
    <w:abstractNumId w:val="3"/>
  </w:num>
  <w:num w:numId="13" w16cid:durableId="1965579763">
    <w:abstractNumId w:val="13"/>
  </w:num>
  <w:num w:numId="14" w16cid:durableId="1519657524">
    <w:abstractNumId w:val="7"/>
  </w:num>
  <w:num w:numId="15" w16cid:durableId="488136988">
    <w:abstractNumId w:val="19"/>
  </w:num>
  <w:num w:numId="16" w16cid:durableId="1111825325">
    <w:abstractNumId w:val="0"/>
  </w:num>
  <w:num w:numId="17" w16cid:durableId="1943341299">
    <w:abstractNumId w:val="2"/>
  </w:num>
  <w:num w:numId="18" w16cid:durableId="206844871">
    <w:abstractNumId w:val="9"/>
  </w:num>
  <w:num w:numId="19" w16cid:durableId="2084258854">
    <w:abstractNumId w:val="11"/>
  </w:num>
  <w:num w:numId="20" w16cid:durableId="1852255600">
    <w:abstractNumId w:val="12"/>
  </w:num>
  <w:num w:numId="21" w16cid:durableId="1506283855">
    <w:abstractNumId w:val="1"/>
  </w:num>
  <w:num w:numId="22" w16cid:durableId="528908225">
    <w:abstractNumId w:val="4"/>
  </w:num>
  <w:num w:numId="23" w16cid:durableId="263808410">
    <w:abstractNumId w:val="15"/>
  </w:num>
  <w:num w:numId="24" w16cid:durableId="47783944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F9"/>
    <w:rsid w:val="000025E6"/>
    <w:rsid w:val="0000276E"/>
    <w:rsid w:val="000123D7"/>
    <w:rsid w:val="00012C94"/>
    <w:rsid w:val="00013DD8"/>
    <w:rsid w:val="000141B5"/>
    <w:rsid w:val="000461A7"/>
    <w:rsid w:val="000472E2"/>
    <w:rsid w:val="00053802"/>
    <w:rsid w:val="00055DC8"/>
    <w:rsid w:val="00060F95"/>
    <w:rsid w:val="00063CE9"/>
    <w:rsid w:val="00067899"/>
    <w:rsid w:val="000704DF"/>
    <w:rsid w:val="00072F50"/>
    <w:rsid w:val="00076FAF"/>
    <w:rsid w:val="0009277E"/>
    <w:rsid w:val="00097B81"/>
    <w:rsid w:val="000A3A6E"/>
    <w:rsid w:val="000C4031"/>
    <w:rsid w:val="000C47B9"/>
    <w:rsid w:val="000C55C9"/>
    <w:rsid w:val="000D49E6"/>
    <w:rsid w:val="000D6572"/>
    <w:rsid w:val="000E225A"/>
    <w:rsid w:val="000E3ACD"/>
    <w:rsid w:val="000F5D25"/>
    <w:rsid w:val="000F7C83"/>
    <w:rsid w:val="001071E9"/>
    <w:rsid w:val="0011789A"/>
    <w:rsid w:val="001270C0"/>
    <w:rsid w:val="001448F5"/>
    <w:rsid w:val="001563FF"/>
    <w:rsid w:val="0016510C"/>
    <w:rsid w:val="001C20F6"/>
    <w:rsid w:val="002269AA"/>
    <w:rsid w:val="002316E8"/>
    <w:rsid w:val="00240AF6"/>
    <w:rsid w:val="0024752C"/>
    <w:rsid w:val="00253587"/>
    <w:rsid w:val="00254C42"/>
    <w:rsid w:val="002557C6"/>
    <w:rsid w:val="00275049"/>
    <w:rsid w:val="002805EA"/>
    <w:rsid w:val="00283695"/>
    <w:rsid w:val="002C3EB8"/>
    <w:rsid w:val="002C482F"/>
    <w:rsid w:val="002E6D07"/>
    <w:rsid w:val="00307643"/>
    <w:rsid w:val="003103A4"/>
    <w:rsid w:val="00310ADD"/>
    <w:rsid w:val="00317CE4"/>
    <w:rsid w:val="0034218C"/>
    <w:rsid w:val="003473AD"/>
    <w:rsid w:val="00354DA6"/>
    <w:rsid w:val="00373043"/>
    <w:rsid w:val="003917C5"/>
    <w:rsid w:val="003A16FE"/>
    <w:rsid w:val="003C127D"/>
    <w:rsid w:val="003C7BCB"/>
    <w:rsid w:val="003D1297"/>
    <w:rsid w:val="003D2DDF"/>
    <w:rsid w:val="003E3365"/>
    <w:rsid w:val="004055B0"/>
    <w:rsid w:val="00407E85"/>
    <w:rsid w:val="00410199"/>
    <w:rsid w:val="00417900"/>
    <w:rsid w:val="00424CF5"/>
    <w:rsid w:val="0045196C"/>
    <w:rsid w:val="0045528B"/>
    <w:rsid w:val="004639A3"/>
    <w:rsid w:val="00470C3E"/>
    <w:rsid w:val="00471EC2"/>
    <w:rsid w:val="00491970"/>
    <w:rsid w:val="00496013"/>
    <w:rsid w:val="004A0F79"/>
    <w:rsid w:val="004A2431"/>
    <w:rsid w:val="004C2467"/>
    <w:rsid w:val="004D759A"/>
    <w:rsid w:val="004E36A8"/>
    <w:rsid w:val="004F050A"/>
    <w:rsid w:val="00500A35"/>
    <w:rsid w:val="00520E0C"/>
    <w:rsid w:val="00524EBE"/>
    <w:rsid w:val="00530628"/>
    <w:rsid w:val="0054512B"/>
    <w:rsid w:val="00554C2E"/>
    <w:rsid w:val="005719E0"/>
    <w:rsid w:val="00572B1B"/>
    <w:rsid w:val="00582134"/>
    <w:rsid w:val="0058236E"/>
    <w:rsid w:val="0058323A"/>
    <w:rsid w:val="00592C81"/>
    <w:rsid w:val="005A6639"/>
    <w:rsid w:val="005A78D4"/>
    <w:rsid w:val="005B270A"/>
    <w:rsid w:val="005D034F"/>
    <w:rsid w:val="00621C31"/>
    <w:rsid w:val="00624D9A"/>
    <w:rsid w:val="006462AB"/>
    <w:rsid w:val="006473C3"/>
    <w:rsid w:val="00653371"/>
    <w:rsid w:val="00656003"/>
    <w:rsid w:val="00666262"/>
    <w:rsid w:val="00687523"/>
    <w:rsid w:val="0069483D"/>
    <w:rsid w:val="006B0B40"/>
    <w:rsid w:val="006B2190"/>
    <w:rsid w:val="006C02C7"/>
    <w:rsid w:val="006C6140"/>
    <w:rsid w:val="006C70BA"/>
    <w:rsid w:val="006E7E43"/>
    <w:rsid w:val="00706730"/>
    <w:rsid w:val="007127D7"/>
    <w:rsid w:val="00725B94"/>
    <w:rsid w:val="00757294"/>
    <w:rsid w:val="0076050E"/>
    <w:rsid w:val="00760B55"/>
    <w:rsid w:val="00764B71"/>
    <w:rsid w:val="007728EF"/>
    <w:rsid w:val="007802E8"/>
    <w:rsid w:val="007A0B4F"/>
    <w:rsid w:val="007D71D3"/>
    <w:rsid w:val="007D72A7"/>
    <w:rsid w:val="007E3288"/>
    <w:rsid w:val="007E554E"/>
    <w:rsid w:val="008263E3"/>
    <w:rsid w:val="0083085F"/>
    <w:rsid w:val="00841308"/>
    <w:rsid w:val="008523B9"/>
    <w:rsid w:val="00863B5B"/>
    <w:rsid w:val="00873237"/>
    <w:rsid w:val="00893CF6"/>
    <w:rsid w:val="008A3444"/>
    <w:rsid w:val="008B5A31"/>
    <w:rsid w:val="008C7BA6"/>
    <w:rsid w:val="008D004A"/>
    <w:rsid w:val="008E442B"/>
    <w:rsid w:val="008F1CDE"/>
    <w:rsid w:val="008F3F93"/>
    <w:rsid w:val="00905627"/>
    <w:rsid w:val="00913A84"/>
    <w:rsid w:val="00937726"/>
    <w:rsid w:val="00965CC6"/>
    <w:rsid w:val="009762A3"/>
    <w:rsid w:val="009A73BD"/>
    <w:rsid w:val="009B2F8D"/>
    <w:rsid w:val="009B4997"/>
    <w:rsid w:val="009C3CF3"/>
    <w:rsid w:val="009D3D98"/>
    <w:rsid w:val="009F79DC"/>
    <w:rsid w:val="00A04E48"/>
    <w:rsid w:val="00A07AD0"/>
    <w:rsid w:val="00A15B4F"/>
    <w:rsid w:val="00A31716"/>
    <w:rsid w:val="00A34229"/>
    <w:rsid w:val="00A50E9D"/>
    <w:rsid w:val="00A77CDF"/>
    <w:rsid w:val="00A90C15"/>
    <w:rsid w:val="00A93C0F"/>
    <w:rsid w:val="00AC39DC"/>
    <w:rsid w:val="00AC5DBA"/>
    <w:rsid w:val="00AD23FB"/>
    <w:rsid w:val="00AD4504"/>
    <w:rsid w:val="00AD553D"/>
    <w:rsid w:val="00AE543B"/>
    <w:rsid w:val="00B05B23"/>
    <w:rsid w:val="00B279ED"/>
    <w:rsid w:val="00B305B8"/>
    <w:rsid w:val="00B35EDB"/>
    <w:rsid w:val="00B51143"/>
    <w:rsid w:val="00B56251"/>
    <w:rsid w:val="00B9241A"/>
    <w:rsid w:val="00B9343D"/>
    <w:rsid w:val="00BC04EB"/>
    <w:rsid w:val="00BD4E60"/>
    <w:rsid w:val="00BE5E6D"/>
    <w:rsid w:val="00BE6182"/>
    <w:rsid w:val="00BF5B6C"/>
    <w:rsid w:val="00C00D96"/>
    <w:rsid w:val="00C12860"/>
    <w:rsid w:val="00C17511"/>
    <w:rsid w:val="00C23195"/>
    <w:rsid w:val="00C37F67"/>
    <w:rsid w:val="00C422E0"/>
    <w:rsid w:val="00C538B1"/>
    <w:rsid w:val="00C621B3"/>
    <w:rsid w:val="00C72106"/>
    <w:rsid w:val="00C7346F"/>
    <w:rsid w:val="00C772F9"/>
    <w:rsid w:val="00C9096B"/>
    <w:rsid w:val="00CC1E2B"/>
    <w:rsid w:val="00CC4997"/>
    <w:rsid w:val="00CD681C"/>
    <w:rsid w:val="00CD6FB6"/>
    <w:rsid w:val="00D02E15"/>
    <w:rsid w:val="00D0790E"/>
    <w:rsid w:val="00D340DF"/>
    <w:rsid w:val="00D504B3"/>
    <w:rsid w:val="00D57475"/>
    <w:rsid w:val="00D620C4"/>
    <w:rsid w:val="00D75B4C"/>
    <w:rsid w:val="00D76790"/>
    <w:rsid w:val="00D80696"/>
    <w:rsid w:val="00D87075"/>
    <w:rsid w:val="00D876BA"/>
    <w:rsid w:val="00D911D9"/>
    <w:rsid w:val="00D9298C"/>
    <w:rsid w:val="00DB1BB4"/>
    <w:rsid w:val="00DC3EF9"/>
    <w:rsid w:val="00DD760B"/>
    <w:rsid w:val="00DE6502"/>
    <w:rsid w:val="00DF2E73"/>
    <w:rsid w:val="00E14B09"/>
    <w:rsid w:val="00E16895"/>
    <w:rsid w:val="00E24588"/>
    <w:rsid w:val="00E3570B"/>
    <w:rsid w:val="00E716C6"/>
    <w:rsid w:val="00E8139C"/>
    <w:rsid w:val="00E87D3C"/>
    <w:rsid w:val="00E94B49"/>
    <w:rsid w:val="00EB3AB1"/>
    <w:rsid w:val="00EB62A5"/>
    <w:rsid w:val="00EC4E21"/>
    <w:rsid w:val="00EC6113"/>
    <w:rsid w:val="00EE3139"/>
    <w:rsid w:val="00EE663A"/>
    <w:rsid w:val="00F0692D"/>
    <w:rsid w:val="00F25C04"/>
    <w:rsid w:val="00F3057E"/>
    <w:rsid w:val="00F462DA"/>
    <w:rsid w:val="00F616C7"/>
    <w:rsid w:val="00F624F6"/>
    <w:rsid w:val="00F6738E"/>
    <w:rsid w:val="00F80B27"/>
    <w:rsid w:val="00FA3C6C"/>
    <w:rsid w:val="00FA7A3A"/>
    <w:rsid w:val="00FB0222"/>
    <w:rsid w:val="00FD68C6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53C"/>
  <w15:docId w15:val="{94E12B51-6E6A-43D4-8C7B-60251B4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3EF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471EC2"/>
    <w:pPr>
      <w:keepNext/>
      <w:spacing w:before="12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C3E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2alineaalta">
    <w:name w:val="c02alineaalta"/>
    <w:basedOn w:val="Navaden"/>
    <w:rsid w:val="00DC3EF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Odstavekseznama">
    <w:name w:val="List Paragraph"/>
    <w:basedOn w:val="Navaden"/>
    <w:uiPriority w:val="34"/>
    <w:qFormat/>
    <w:rsid w:val="00DC3EF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rsid w:val="00DC3EF9"/>
    <w:rPr>
      <w:rFonts w:ascii="Times New Roman" w:eastAsia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C3EF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DC3E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n">
    <w:name w:val="fn"/>
    <w:basedOn w:val="Privzetapisavaodstavka"/>
    <w:rsid w:val="00DC3EF9"/>
  </w:style>
  <w:style w:type="character" w:customStyle="1" w:styleId="Naslov1Znak">
    <w:name w:val="Naslov 1 Znak"/>
    <w:basedOn w:val="Privzetapisavaodstavka"/>
    <w:link w:val="Naslov1"/>
    <w:uiPriority w:val="9"/>
    <w:rsid w:val="00471EC2"/>
    <w:rPr>
      <w:rFonts w:ascii="Arial" w:eastAsia="Times New Roman" w:hAnsi="Arial" w:cs="Arial"/>
      <w:b/>
      <w:bCs/>
      <w:kern w:val="32"/>
      <w:sz w:val="28"/>
      <w:szCs w:val="28"/>
    </w:rPr>
  </w:style>
  <w:style w:type="character" w:styleId="Pripombasklic">
    <w:name w:val="annotation reference"/>
    <w:basedOn w:val="Privzetapisavaodstavka"/>
    <w:uiPriority w:val="99"/>
    <w:semiHidden/>
    <w:unhideWhenUsed/>
    <w:rsid w:val="008F1C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1C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1CDE"/>
    <w:rPr>
      <w:rFonts w:ascii="Calibri" w:eastAsia="Calibri" w:hAnsi="Calibri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1C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1CDE"/>
    <w:rPr>
      <w:rFonts w:ascii="Calibri" w:eastAsia="Calibri" w:hAnsi="Calibri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012C94"/>
    <w:pPr>
      <w:spacing w:after="0" w:line="240" w:lineRule="auto"/>
    </w:pPr>
    <w:rPr>
      <w:rFonts w:ascii="Calibri" w:eastAsia="Calibri" w:hAnsi="Calibri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64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643"/>
    <w:rPr>
      <w:rFonts w:ascii="Segoe UI" w:eastAsia="Calibr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9E7F29E924D4E8E4BCC1CF137BAFC" ma:contentTypeVersion="0" ma:contentTypeDescription="Ustvari nov dokument." ma:contentTypeScope="" ma:versionID="c44ed0307daf783690a0635af5f8c1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BC38D-50D0-4601-8E4C-BF264A1A2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75D6A-45B4-4C23-8CB2-710C2D47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3C30A-291E-4B5E-85AB-253F820DF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61DC-CEEE-4B6F-AE95-3BD67F6F6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Vlahek</dc:creator>
  <cp:lastModifiedBy>Marentič, Maja</cp:lastModifiedBy>
  <cp:revision>2</cp:revision>
  <dcterms:created xsi:type="dcterms:W3CDTF">2025-07-01T09:35:00Z</dcterms:created>
  <dcterms:modified xsi:type="dcterms:W3CDTF">2025-07-01T09:35:00Z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0x0101003609E7F29E924D4E8E4BCC1CF137BAFC</vt:lpwstr>
  </property>
</Properties>
</file>