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2001F" w14:textId="77777777" w:rsidR="00ED7A71" w:rsidRPr="0014205B" w:rsidRDefault="00ED7A71" w:rsidP="0014205B">
      <w:pPr>
        <w:pStyle w:val="Naslov1"/>
        <w:spacing w:before="0"/>
        <w:rPr>
          <w:sz w:val="22"/>
          <w:szCs w:val="22"/>
          <w:lang w:eastAsia="sl-SI"/>
        </w:rPr>
      </w:pPr>
      <w:bookmarkStart w:id="0" w:name="_GoBack"/>
      <w:bookmarkEnd w:id="0"/>
      <w:r w:rsidRPr="0014205B">
        <w:rPr>
          <w:sz w:val="22"/>
          <w:szCs w:val="22"/>
          <w:lang w:eastAsia="sl-SI"/>
        </w:rPr>
        <w:t>UČNI NAČRT</w:t>
      </w:r>
    </w:p>
    <w:p w14:paraId="06DB59D4" w14:textId="77777777" w:rsidR="00ED7A71" w:rsidRPr="0014205B" w:rsidRDefault="00ED7A71" w:rsidP="0014205B">
      <w:pPr>
        <w:spacing w:after="0" w:line="240" w:lineRule="auto"/>
        <w:rPr>
          <w:rFonts w:ascii="Arial" w:hAnsi="Arial" w:cs="Arial"/>
          <w:lang w:val="sl-SI"/>
        </w:rPr>
      </w:pPr>
    </w:p>
    <w:tbl>
      <w:tblPr>
        <w:tblW w:w="0" w:type="auto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873"/>
        <w:gridCol w:w="335"/>
        <w:gridCol w:w="393"/>
        <w:gridCol w:w="394"/>
        <w:gridCol w:w="370"/>
        <w:gridCol w:w="369"/>
        <w:gridCol w:w="315"/>
        <w:gridCol w:w="1045"/>
        <w:gridCol w:w="1296"/>
        <w:gridCol w:w="1432"/>
        <w:gridCol w:w="179"/>
        <w:gridCol w:w="1061"/>
      </w:tblGrid>
      <w:tr w:rsidR="00ED7A71" w:rsidRPr="0014205B" w14:paraId="4D90C1AF" w14:textId="77777777" w:rsidTr="000F47DF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11CA75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UČNI NAČRT PREDMETA / COURSE SYLLABUS</w:t>
            </w:r>
          </w:p>
        </w:tc>
      </w:tr>
      <w:tr w:rsidR="000F47DF" w:rsidRPr="0014205B" w14:paraId="32DA220F" w14:textId="77777777" w:rsidTr="000F47DF">
        <w:tc>
          <w:tcPr>
            <w:tcW w:w="0" w:type="auto"/>
            <w:gridSpan w:val="3"/>
          </w:tcPr>
          <w:p w14:paraId="45632A3B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Predmet: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FEE4" w14:textId="77777777" w:rsidR="00ED7A71" w:rsidRPr="0014205B" w:rsidRDefault="000F47DF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Ekonomija</w:t>
            </w:r>
          </w:p>
        </w:tc>
      </w:tr>
      <w:tr w:rsidR="000F47DF" w:rsidRPr="0014205B" w14:paraId="72257B1D" w14:textId="77777777" w:rsidTr="000F47DF">
        <w:tc>
          <w:tcPr>
            <w:tcW w:w="0" w:type="auto"/>
            <w:gridSpan w:val="3"/>
          </w:tcPr>
          <w:p w14:paraId="755959E2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Course title: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3B64" w14:textId="77777777" w:rsidR="00ED7A71" w:rsidRPr="0014205B" w:rsidRDefault="000F47DF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Economics</w:t>
            </w:r>
          </w:p>
        </w:tc>
      </w:tr>
      <w:tr w:rsidR="000F47DF" w:rsidRPr="0014205B" w14:paraId="006BE607" w14:textId="77777777" w:rsidTr="000F47DF">
        <w:tc>
          <w:tcPr>
            <w:tcW w:w="0" w:type="auto"/>
            <w:gridSpan w:val="5"/>
            <w:vAlign w:val="center"/>
          </w:tcPr>
          <w:p w14:paraId="22F0F741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gridSpan w:val="4"/>
            <w:vAlign w:val="center"/>
          </w:tcPr>
          <w:p w14:paraId="114A4BDD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Align w:val="center"/>
          </w:tcPr>
          <w:p w14:paraId="6A4D0931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8668793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F47DF" w:rsidRPr="0014205B" w14:paraId="09630B20" w14:textId="77777777" w:rsidTr="000F47DF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6442EE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Študijski program in stopnja</w:t>
            </w:r>
          </w:p>
          <w:p w14:paraId="0F687AA2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  <w:b/>
              </w:rPr>
              <w:t>Study programme and level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355372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Študijska smer</w:t>
            </w:r>
          </w:p>
          <w:p w14:paraId="36CF17E7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Study field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D4CA71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Letnik</w:t>
            </w:r>
            <w:r w:rsidR="000F47DF" w:rsidRPr="0014205B">
              <w:rPr>
                <w:rFonts w:ascii="Arial" w:hAnsi="Arial" w:cs="Arial"/>
                <w:b/>
              </w:rPr>
              <w:t xml:space="preserve"> </w:t>
            </w:r>
          </w:p>
          <w:p w14:paraId="1B671C82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Academic year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BD5754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Semester</w:t>
            </w:r>
          </w:p>
          <w:p w14:paraId="43CC22E2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Semester</w:t>
            </w:r>
          </w:p>
        </w:tc>
      </w:tr>
      <w:tr w:rsidR="000F47DF" w:rsidRPr="0014205B" w14:paraId="75B4C4A1" w14:textId="77777777" w:rsidTr="000F47DF">
        <w:trPr>
          <w:trHeight w:val="31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7FE" w14:textId="77777777" w:rsidR="00ED7A71" w:rsidRPr="0014205B" w:rsidRDefault="004367E7" w:rsidP="0014205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Enoviti magistrski študijski program Pravo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C0C" w14:textId="77777777" w:rsidR="00ED7A71" w:rsidRPr="0014205B" w:rsidRDefault="00F302B0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4205B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5ADB" w14:textId="67BB1CB6" w:rsidR="00ED7A71" w:rsidRPr="0014205B" w:rsidRDefault="000F47DF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4205B">
              <w:rPr>
                <w:rFonts w:ascii="Arial" w:hAnsi="Arial" w:cs="Arial"/>
                <w:b/>
                <w:bCs/>
              </w:rPr>
              <w:t>1</w:t>
            </w:r>
            <w:r w:rsidR="005C6C45" w:rsidRPr="0014205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5CE0" w14:textId="30427489" w:rsidR="00ED7A71" w:rsidRPr="0014205B" w:rsidRDefault="000F47DF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4205B">
              <w:rPr>
                <w:rFonts w:ascii="Arial" w:hAnsi="Arial" w:cs="Arial"/>
                <w:b/>
                <w:bCs/>
              </w:rPr>
              <w:t>1</w:t>
            </w:r>
            <w:r w:rsidR="005C6C45" w:rsidRPr="0014205B">
              <w:rPr>
                <w:rFonts w:ascii="Arial" w:hAnsi="Arial" w:cs="Arial"/>
                <w:b/>
                <w:bCs/>
              </w:rPr>
              <w:t>.</w:t>
            </w:r>
            <w:r w:rsidRPr="0014205B">
              <w:rPr>
                <w:rFonts w:ascii="Arial" w:hAnsi="Arial" w:cs="Arial"/>
                <w:b/>
                <w:bCs/>
              </w:rPr>
              <w:t>,</w:t>
            </w:r>
            <w:r w:rsidR="0014205B" w:rsidRPr="0014205B">
              <w:rPr>
                <w:rFonts w:ascii="Arial" w:hAnsi="Arial" w:cs="Arial"/>
                <w:b/>
                <w:bCs/>
              </w:rPr>
              <w:t xml:space="preserve"> </w:t>
            </w:r>
            <w:r w:rsidRPr="0014205B">
              <w:rPr>
                <w:rFonts w:ascii="Arial" w:hAnsi="Arial" w:cs="Arial"/>
                <w:b/>
                <w:bCs/>
              </w:rPr>
              <w:t>2</w:t>
            </w:r>
            <w:r w:rsidR="005C6C45" w:rsidRPr="0014205B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0F47DF" w:rsidRPr="0014205B" w14:paraId="45BD6688" w14:textId="77777777" w:rsidTr="000F47DF">
        <w:trPr>
          <w:trHeight w:val="31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4ABA" w14:textId="77777777" w:rsidR="00ED7A71" w:rsidRPr="0014205B" w:rsidRDefault="004367E7" w:rsidP="0014205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Integrated master study programme Law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8D53" w14:textId="77777777" w:rsidR="00ED7A71" w:rsidRPr="0014205B" w:rsidRDefault="00F302B0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4205B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7522" w14:textId="19F0B886" w:rsidR="00ED7A71" w:rsidRPr="0014205B" w:rsidRDefault="000F47DF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4205B">
              <w:rPr>
                <w:rFonts w:ascii="Arial" w:hAnsi="Arial" w:cs="Arial"/>
                <w:b/>
                <w:bCs/>
              </w:rPr>
              <w:t>1</w:t>
            </w:r>
            <w:r w:rsidR="006644CF" w:rsidRPr="0014205B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="006644CF" w:rsidRPr="0014205B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53E0" w14:textId="007D7880" w:rsidR="00ED7A71" w:rsidRPr="0014205B" w:rsidRDefault="000F47DF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4205B">
              <w:rPr>
                <w:rFonts w:ascii="Arial" w:hAnsi="Arial" w:cs="Arial"/>
                <w:b/>
                <w:bCs/>
              </w:rPr>
              <w:t>1</w:t>
            </w:r>
            <w:r w:rsidR="006644CF" w:rsidRPr="0014205B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Pr="0014205B">
              <w:rPr>
                <w:rFonts w:ascii="Arial" w:hAnsi="Arial" w:cs="Arial"/>
                <w:b/>
                <w:bCs/>
              </w:rPr>
              <w:t>,</w:t>
            </w:r>
            <w:r w:rsidR="0014205B" w:rsidRPr="0014205B">
              <w:rPr>
                <w:rFonts w:ascii="Arial" w:hAnsi="Arial" w:cs="Arial"/>
                <w:b/>
                <w:bCs/>
              </w:rPr>
              <w:t xml:space="preserve"> </w:t>
            </w:r>
            <w:r w:rsidRPr="0014205B">
              <w:rPr>
                <w:rFonts w:ascii="Arial" w:hAnsi="Arial" w:cs="Arial"/>
                <w:b/>
                <w:bCs/>
              </w:rPr>
              <w:t>2</w:t>
            </w:r>
            <w:r w:rsidR="006644CF" w:rsidRPr="0014205B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6644CF" w:rsidRPr="0014205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D7A71" w:rsidRPr="0014205B" w14:paraId="144CCECE" w14:textId="77777777" w:rsidTr="000F47DF">
        <w:trPr>
          <w:trHeight w:val="103"/>
        </w:trPr>
        <w:tc>
          <w:tcPr>
            <w:tcW w:w="0" w:type="auto"/>
            <w:gridSpan w:val="12"/>
          </w:tcPr>
          <w:p w14:paraId="0E13450D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F47DF" w:rsidRPr="0014205B" w14:paraId="1CBC5778" w14:textId="77777777" w:rsidTr="000F47DF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66876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Vrsta predmeta / Course type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567A" w14:textId="410C7E65" w:rsidR="00ED7A71" w:rsidRPr="0014205B" w:rsidRDefault="009C5A6C" w:rsidP="0014205B">
            <w:p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t>Obvezni predmet</w:t>
            </w:r>
            <w:r w:rsidR="00BE6723" w:rsidRPr="0014205B">
              <w:rPr>
                <w:rFonts w:ascii="Arial" w:hAnsi="Arial" w:cs="Arial"/>
              </w:rPr>
              <w:t xml:space="preserve"> </w:t>
            </w:r>
            <w:r w:rsidRPr="0014205B">
              <w:rPr>
                <w:rFonts w:ascii="Arial" w:hAnsi="Arial" w:cs="Arial"/>
              </w:rPr>
              <w:t>/</w:t>
            </w:r>
            <w:r w:rsidR="00BE6723" w:rsidRPr="0014205B">
              <w:rPr>
                <w:rFonts w:ascii="Arial" w:hAnsi="Arial" w:cs="Arial"/>
              </w:rPr>
              <w:t xml:space="preserve"> Obligatory</w:t>
            </w:r>
            <w:r w:rsidRPr="0014205B">
              <w:rPr>
                <w:rFonts w:ascii="Arial" w:hAnsi="Arial" w:cs="Arial"/>
              </w:rPr>
              <w:t xml:space="preserve"> course</w:t>
            </w:r>
          </w:p>
        </w:tc>
      </w:tr>
      <w:tr w:rsidR="000F47DF" w:rsidRPr="0014205B" w14:paraId="4031CCE2" w14:textId="77777777" w:rsidTr="000F47DF">
        <w:tc>
          <w:tcPr>
            <w:tcW w:w="0" w:type="auto"/>
            <w:gridSpan w:val="8"/>
          </w:tcPr>
          <w:p w14:paraId="00746593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956C0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7DF" w:rsidRPr="0014205B" w14:paraId="0379987D" w14:textId="77777777" w:rsidTr="000F47DF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DC3DE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Univerzitetna koda predmeta / University course code: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0200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D7A71" w:rsidRPr="0014205B" w14:paraId="07E600E8" w14:textId="77777777" w:rsidTr="000F47DF">
        <w:tc>
          <w:tcPr>
            <w:tcW w:w="0" w:type="auto"/>
            <w:gridSpan w:val="12"/>
          </w:tcPr>
          <w:p w14:paraId="6ADBA8C2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7DF" w:rsidRPr="0014205B" w14:paraId="2098E159" w14:textId="77777777" w:rsidTr="000F47DF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BD8373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Predavanja</w:t>
            </w:r>
          </w:p>
          <w:p w14:paraId="0A688AFA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  <w:b/>
              </w:rPr>
              <w:t>Lectures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A85523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Seminar</w:t>
            </w:r>
          </w:p>
          <w:p w14:paraId="3FD70205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Seminar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755FA5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Vaje</w:t>
            </w:r>
          </w:p>
          <w:p w14:paraId="4FE31103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Tutorial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107249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Klinične vaje</w:t>
            </w:r>
          </w:p>
          <w:p w14:paraId="72FD3E52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work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4CCDE4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Druge oblike študija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8398A4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Samost. delo</w:t>
            </w:r>
          </w:p>
          <w:p w14:paraId="1483AC50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Individ. work</w:t>
            </w:r>
          </w:p>
        </w:tc>
        <w:tc>
          <w:tcPr>
            <w:tcW w:w="0" w:type="auto"/>
            <w:vAlign w:val="center"/>
          </w:tcPr>
          <w:p w14:paraId="1A763FA6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47AD4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ECTS</w:t>
            </w:r>
          </w:p>
        </w:tc>
      </w:tr>
      <w:tr w:rsidR="000F47DF" w:rsidRPr="0014205B" w14:paraId="2D08F167" w14:textId="77777777" w:rsidTr="000F47DF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CE01" w14:textId="77777777" w:rsidR="00ED7A71" w:rsidRPr="0014205B" w:rsidRDefault="000F47DF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4205B">
              <w:rPr>
                <w:rFonts w:ascii="Arial" w:hAnsi="Arial" w:cs="Arial"/>
                <w:b/>
                <w:bCs/>
              </w:rPr>
              <w:t>90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B875" w14:textId="77777777" w:rsidR="00ED7A71" w:rsidRPr="0014205B" w:rsidRDefault="000F47DF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4205B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2DE8" w14:textId="77777777" w:rsidR="00ED7A71" w:rsidRPr="0014205B" w:rsidRDefault="000F47DF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4205B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E91B" w14:textId="77777777" w:rsidR="00ED7A71" w:rsidRPr="0014205B" w:rsidRDefault="000F47DF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4205B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AA1F" w14:textId="77777777" w:rsidR="00ED7A71" w:rsidRPr="0014205B" w:rsidRDefault="000F47DF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4205B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1DBC" w14:textId="77777777" w:rsidR="00ED7A71" w:rsidRPr="0014205B" w:rsidRDefault="000F47DF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4205B">
              <w:rPr>
                <w:rFonts w:ascii="Arial" w:hAnsi="Arial" w:cs="Arial"/>
                <w:b/>
                <w:bCs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5912A" w14:textId="77777777" w:rsidR="00ED7A71" w:rsidRPr="0014205B" w:rsidRDefault="00ED7A71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9FE4" w14:textId="77777777" w:rsidR="00ED7A71" w:rsidRPr="0014205B" w:rsidRDefault="000F47DF" w:rsidP="00142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4205B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ED7A71" w:rsidRPr="0014205B" w14:paraId="6BEBF63C" w14:textId="77777777" w:rsidTr="000F47DF">
        <w:tc>
          <w:tcPr>
            <w:tcW w:w="0" w:type="auto"/>
            <w:gridSpan w:val="12"/>
          </w:tcPr>
          <w:p w14:paraId="4B21D4C2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F47DF" w:rsidRPr="0014205B" w14:paraId="28DAD513" w14:textId="77777777" w:rsidTr="000F47DF">
        <w:tc>
          <w:tcPr>
            <w:tcW w:w="0" w:type="auto"/>
            <w:gridSpan w:val="5"/>
          </w:tcPr>
          <w:p w14:paraId="56523AE1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Nosilec predmeta / Lecturer: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B6E9" w14:textId="77777777" w:rsidR="00ED7A71" w:rsidRPr="0014205B" w:rsidRDefault="000F47DF" w:rsidP="0014205B">
            <w:p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t>Prof. dr. Katarina Zajc</w:t>
            </w:r>
          </w:p>
        </w:tc>
      </w:tr>
      <w:tr w:rsidR="00ED7A71" w:rsidRPr="0014205B" w14:paraId="4E2DE1CE" w14:textId="77777777" w:rsidTr="000F47DF">
        <w:tc>
          <w:tcPr>
            <w:tcW w:w="0" w:type="auto"/>
            <w:gridSpan w:val="12"/>
          </w:tcPr>
          <w:p w14:paraId="6E2CF7DE" w14:textId="77777777" w:rsidR="00ED7A71" w:rsidRPr="0014205B" w:rsidRDefault="00ED7A71" w:rsidP="0014205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F47DF" w:rsidRPr="0014205B" w14:paraId="6B14CB14" w14:textId="77777777" w:rsidTr="000F47DF">
        <w:tc>
          <w:tcPr>
            <w:tcW w:w="0" w:type="auto"/>
            <w:gridSpan w:val="2"/>
            <w:vMerge w:val="restart"/>
          </w:tcPr>
          <w:p w14:paraId="513C73E0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 xml:space="preserve">Jeziki / </w:t>
            </w:r>
          </w:p>
          <w:p w14:paraId="173642A0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  <w:b/>
              </w:rPr>
              <w:t>Languages:</w:t>
            </w:r>
          </w:p>
        </w:tc>
        <w:tc>
          <w:tcPr>
            <w:tcW w:w="0" w:type="auto"/>
            <w:gridSpan w:val="4"/>
          </w:tcPr>
          <w:p w14:paraId="17A6BD55" w14:textId="77777777" w:rsidR="00ED7A71" w:rsidRPr="0014205B" w:rsidRDefault="00ED7A71" w:rsidP="0014205B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Predavanja / Lectures: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B1C" w14:textId="1759C2C2" w:rsidR="00ED7A71" w:rsidRPr="0014205B" w:rsidRDefault="000F47DF" w:rsidP="0014205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4205B">
              <w:rPr>
                <w:rFonts w:ascii="Arial" w:hAnsi="Arial" w:cs="Arial"/>
                <w:b/>
                <w:bCs/>
              </w:rPr>
              <w:t>Slovenski/Sloven</w:t>
            </w:r>
            <w:r w:rsidR="00BE6723" w:rsidRPr="0014205B">
              <w:rPr>
                <w:rFonts w:ascii="Arial" w:hAnsi="Arial" w:cs="Arial"/>
                <w:b/>
                <w:bCs/>
              </w:rPr>
              <w:t>ian</w:t>
            </w:r>
          </w:p>
        </w:tc>
      </w:tr>
      <w:tr w:rsidR="000F47DF" w:rsidRPr="0014205B" w14:paraId="0D5CED2D" w14:textId="77777777" w:rsidTr="000F47DF">
        <w:trPr>
          <w:trHeight w:val="215"/>
        </w:trPr>
        <w:tc>
          <w:tcPr>
            <w:tcW w:w="0" w:type="auto"/>
            <w:gridSpan w:val="2"/>
            <w:vMerge/>
            <w:vAlign w:val="center"/>
          </w:tcPr>
          <w:p w14:paraId="17BFAC7D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4"/>
          </w:tcPr>
          <w:p w14:paraId="2F48F261" w14:textId="77777777" w:rsidR="00ED7A71" w:rsidRPr="0014205B" w:rsidRDefault="00ED7A71" w:rsidP="0014205B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Vaje / Tutorial: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4B35" w14:textId="69914CB0" w:rsidR="00ED7A71" w:rsidRPr="0014205B" w:rsidRDefault="000F47DF" w:rsidP="0014205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4205B">
              <w:rPr>
                <w:rFonts w:ascii="Arial" w:hAnsi="Arial" w:cs="Arial"/>
                <w:b/>
                <w:bCs/>
              </w:rPr>
              <w:t>Slovenski/Sloven</w:t>
            </w:r>
            <w:r w:rsidR="00BE6723" w:rsidRPr="0014205B">
              <w:rPr>
                <w:rFonts w:ascii="Arial" w:hAnsi="Arial" w:cs="Arial"/>
                <w:b/>
                <w:bCs/>
              </w:rPr>
              <w:t>ian</w:t>
            </w:r>
          </w:p>
        </w:tc>
      </w:tr>
      <w:tr w:rsidR="000F47DF" w:rsidRPr="0014205B" w14:paraId="5F0CAD0E" w14:textId="77777777" w:rsidTr="000F47DF"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37E50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E1187EC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Pogoji za vključitev v delo oz. za opravljanje študijskih obveznosti:</w:t>
            </w:r>
          </w:p>
        </w:tc>
        <w:tc>
          <w:tcPr>
            <w:tcW w:w="0" w:type="auto"/>
          </w:tcPr>
          <w:p w14:paraId="41983FCD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8D477DD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70B56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B4AC8F8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Prerequisits:</w:t>
            </w:r>
          </w:p>
        </w:tc>
      </w:tr>
      <w:tr w:rsidR="000F47DF" w:rsidRPr="0014205B" w14:paraId="13A6745B" w14:textId="77777777" w:rsidTr="000F47DF">
        <w:trPr>
          <w:trHeight w:val="2665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DF8F" w14:textId="55A9D680" w:rsidR="00ED7A71" w:rsidRPr="0014205B" w:rsidRDefault="005635E1" w:rsidP="001420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 posebnih pogojev.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832E3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0250" w14:textId="4AD21E1C" w:rsidR="00ED7A71" w:rsidRPr="0014205B" w:rsidRDefault="005635E1" w:rsidP="001420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prerequisits.</w:t>
            </w:r>
          </w:p>
        </w:tc>
      </w:tr>
      <w:tr w:rsidR="000F47DF" w:rsidRPr="0014205B" w14:paraId="1AF3E3F5" w14:textId="77777777" w:rsidTr="000F47DF">
        <w:trPr>
          <w:trHeight w:val="137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A90DC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D2444E7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Vsebina:</w:t>
            </w:r>
            <w:r w:rsidRPr="001420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14:paraId="33742ADC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D04B4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4CA2B82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Content (Syllabus outline):</w:t>
            </w:r>
          </w:p>
        </w:tc>
      </w:tr>
      <w:tr w:rsidR="000F47DF" w:rsidRPr="0014205B" w14:paraId="5CA26C1F" w14:textId="77777777" w:rsidTr="000F47DF">
        <w:trPr>
          <w:trHeight w:val="2665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FDA8" w14:textId="77777777" w:rsidR="000F47DF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lastRenderedPageBreak/>
              <w:t>GOSPODARJENJE</w:t>
            </w:r>
          </w:p>
          <w:p w14:paraId="5D09DFFC" w14:textId="77777777" w:rsidR="0014205B" w:rsidRPr="0014205B" w:rsidRDefault="0014205B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B1BCCBA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Gospodarjenje in produkcija</w:t>
            </w:r>
          </w:p>
          <w:p w14:paraId="2489EC57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Organizacijska struktura sodobnega gospodarstva</w:t>
            </w:r>
          </w:p>
          <w:p w14:paraId="5A3C8751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Družbeni proizvodni proces in družbeni proizvod</w:t>
            </w:r>
          </w:p>
          <w:p w14:paraId="5F2013BA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Uporaba družbenega proizvoda</w:t>
            </w:r>
          </w:p>
          <w:p w14:paraId="6CA1B696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Naturalna sestava družbenega proizvoda</w:t>
            </w:r>
          </w:p>
          <w:p w14:paraId="12E6878A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Družbenoekonomska struktura gospodarstva</w:t>
            </w:r>
          </w:p>
          <w:p w14:paraId="30EA741A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Nadaljnje oblike uporabe družbenega proizvoda</w:t>
            </w:r>
          </w:p>
          <w:p w14:paraId="2D74E16A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7F85C6C" w14:textId="77777777" w:rsidR="000F47DF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KRITERIJI IN ORGANIZACIJA GOSPODARSKEGA ODLOČANJA</w:t>
            </w:r>
          </w:p>
          <w:p w14:paraId="37804404" w14:textId="77777777" w:rsidR="0014205B" w:rsidRPr="0014205B" w:rsidRDefault="0014205B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DFE8EED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Faktorji odločanja</w:t>
            </w:r>
          </w:p>
          <w:p w14:paraId="79BDDEF4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Učinkovitost proizvodnih faktorjev</w:t>
            </w:r>
          </w:p>
          <w:p w14:paraId="041F3413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Zasebni in družbeni proizvod</w:t>
            </w:r>
          </w:p>
          <w:p w14:paraId="3C1D7313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Organizacija gospodarskega odločanja</w:t>
            </w:r>
          </w:p>
          <w:p w14:paraId="50D48641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42F4A1A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MENJAVA</w:t>
            </w:r>
          </w:p>
          <w:p w14:paraId="253A7CCC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Uvodni pojmi</w:t>
            </w:r>
          </w:p>
          <w:p w14:paraId="4FD25E2C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Ponudba in povpraševanje kot faktorja cene</w:t>
            </w:r>
          </w:p>
          <w:p w14:paraId="5473A370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Faktorji povpraševanja</w:t>
            </w:r>
          </w:p>
          <w:p w14:paraId="7351D747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Prikaz koristnosti in potrošnje s pomočjo krivulj ravnodušnosti</w:t>
            </w:r>
          </w:p>
          <w:p w14:paraId="25BCA599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Cene in čas</w:t>
            </w:r>
          </w:p>
          <w:p w14:paraId="51299A26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Čista konkurenca</w:t>
            </w:r>
          </w:p>
          <w:p w14:paraId="440B8D27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Popolna konkurenca</w:t>
            </w:r>
          </w:p>
          <w:p w14:paraId="0A32F9D9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Monopol</w:t>
            </w:r>
          </w:p>
          <w:p w14:paraId="60A7A3CA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Omejena konkurenca</w:t>
            </w:r>
          </w:p>
          <w:p w14:paraId="1A4371CC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8716ACA" w14:textId="77777777" w:rsidR="000F47DF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PROIZVODNJA</w:t>
            </w:r>
          </w:p>
          <w:p w14:paraId="346C761D" w14:textId="77777777" w:rsidR="0014205B" w:rsidRPr="0014205B" w:rsidRDefault="0014205B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21A8C65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Splošna teorija proizvodnje</w:t>
            </w:r>
          </w:p>
          <w:p w14:paraId="6F88BD54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Optimalno izkoriščanje faktorjev</w:t>
            </w:r>
          </w:p>
          <w:p w14:paraId="6BD43A05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Optimalna tehnika</w:t>
            </w:r>
          </w:p>
          <w:p w14:paraId="47C2D16B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7E8DC9A" w14:textId="77777777" w:rsidR="000F47DF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DELITEV</w:t>
            </w:r>
          </w:p>
          <w:p w14:paraId="3FFC061C" w14:textId="77777777" w:rsidR="0014205B" w:rsidRPr="0014205B" w:rsidRDefault="0014205B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B63B48B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Povpraševanje po produkcijskih faktorjih</w:t>
            </w:r>
          </w:p>
          <w:p w14:paraId="1B1225F8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Ponudba produkcijskih faktorjev</w:t>
            </w:r>
          </w:p>
          <w:p w14:paraId="22475D08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Ravnotežje na trgu proizvodnih faktorjev</w:t>
            </w:r>
          </w:p>
          <w:p w14:paraId="26C8CFC1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  <w:bCs/>
              </w:rPr>
              <w:t>Delitev med glavnimi skupinami proizvodnih faktorje</w:t>
            </w:r>
            <w:r w:rsidRPr="0014205B">
              <w:rPr>
                <w:rFonts w:ascii="Arial" w:hAnsi="Arial" w:cs="Arial"/>
              </w:rPr>
              <w:t>v</w:t>
            </w:r>
          </w:p>
          <w:p w14:paraId="00D6DC69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Oblike organiziranja proizvodnje v sodobnem gospodarstvu</w:t>
            </w:r>
          </w:p>
          <w:p w14:paraId="4DD24B96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Delovna teorija vrednosti</w:t>
            </w:r>
          </w:p>
          <w:p w14:paraId="17AA901D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Vloga faktorja delo po delovni teoriji vrednosti</w:t>
            </w:r>
          </w:p>
          <w:p w14:paraId="05676694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AD6FE86" w14:textId="77777777" w:rsidR="000F47DF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aps/>
              </w:rPr>
            </w:pPr>
            <w:r w:rsidRPr="0014205B">
              <w:rPr>
                <w:rFonts w:ascii="Arial" w:hAnsi="Arial" w:cs="Arial"/>
                <w:caps/>
              </w:rPr>
              <w:lastRenderedPageBreak/>
              <w:t>Gospodarska rast in njene determinante</w:t>
            </w:r>
          </w:p>
          <w:p w14:paraId="7843CFB2" w14:textId="77777777" w:rsidR="0014205B" w:rsidRPr="0014205B" w:rsidRDefault="0014205B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4EF54D0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Dolgoročna gospodarska rast in gospodarski razvoj</w:t>
            </w:r>
          </w:p>
          <w:p w14:paraId="7C958C65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Neenakost povečanja produkta in povečanje dohodka</w:t>
            </w:r>
          </w:p>
          <w:p w14:paraId="103800EC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Neenakost rasti produkta in rasti trošenja</w:t>
            </w:r>
          </w:p>
          <w:p w14:paraId="4F880585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 xml:space="preserve">Faktorji končnega povpraševanja in </w:t>
            </w:r>
            <w:r w:rsidRPr="0014205B">
              <w:rPr>
                <w:rFonts w:ascii="Arial" w:hAnsi="Arial" w:cs="Arial"/>
                <w:bCs/>
                <w:i/>
              </w:rPr>
              <w:t>ex ante</w:t>
            </w:r>
            <w:r w:rsidRPr="0014205B">
              <w:rPr>
                <w:rFonts w:ascii="Arial" w:hAnsi="Arial" w:cs="Arial"/>
                <w:bCs/>
              </w:rPr>
              <w:t xml:space="preserve"> izenačevanje rasti uporabe z rastjo proizvoda</w:t>
            </w:r>
          </w:p>
          <w:p w14:paraId="3048AA77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Ravnotežni produkt</w:t>
            </w:r>
          </w:p>
          <w:p w14:paraId="6EC06754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Odprto gospodarstvo</w:t>
            </w:r>
          </w:p>
          <w:p w14:paraId="6648E205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Fiskus – račun države</w:t>
            </w:r>
          </w:p>
          <w:p w14:paraId="1513D839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Teorija denarja</w:t>
            </w:r>
          </w:p>
          <w:p w14:paraId="355AC698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Povpraševanje in ponudba denarja</w:t>
            </w:r>
          </w:p>
          <w:p w14:paraId="76817E6C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Trg denarja</w:t>
            </w:r>
          </w:p>
          <w:p w14:paraId="60DBE0D4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4205B">
              <w:rPr>
                <w:rFonts w:ascii="Arial" w:hAnsi="Arial" w:cs="Arial"/>
                <w:bCs/>
              </w:rPr>
              <w:t>Inflacija</w:t>
            </w:r>
          </w:p>
          <w:p w14:paraId="6E4D1EEC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FA831E2" w14:textId="77777777" w:rsidR="000F47DF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aps/>
              </w:rPr>
            </w:pPr>
            <w:r w:rsidRPr="0014205B">
              <w:rPr>
                <w:rFonts w:ascii="Arial" w:hAnsi="Arial" w:cs="Arial"/>
                <w:caps/>
              </w:rPr>
              <w:t xml:space="preserve">Ekonomska politika </w:t>
            </w:r>
          </w:p>
          <w:p w14:paraId="3C2BAF86" w14:textId="77777777" w:rsidR="0014205B" w:rsidRPr="0014205B" w:rsidRDefault="0014205B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aps/>
              </w:rPr>
            </w:pPr>
          </w:p>
          <w:p w14:paraId="128E5F2E" w14:textId="77777777" w:rsidR="000F47DF" w:rsidRPr="0014205B" w:rsidRDefault="000F47DF" w:rsidP="00142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t>Makroekonomski učinki ukrepov ekonomske politike</w:t>
            </w:r>
          </w:p>
          <w:p w14:paraId="7AE62466" w14:textId="77777777" w:rsidR="00ED7A71" w:rsidRPr="0014205B" w:rsidRDefault="000F47DF" w:rsidP="0014205B">
            <w:p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  <w:bCs/>
              </w:rPr>
              <w:t>Ekonometrična ocena osnovnih makroekonomskih relacij za Slovenijo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F6233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AC59" w14:textId="557FC93F" w:rsidR="00EB192E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>MANAGEMENT</w:t>
            </w:r>
          </w:p>
          <w:p w14:paraId="5EE2A27B" w14:textId="77777777" w:rsidR="0014205B" w:rsidRPr="0014205B" w:rsidRDefault="0014205B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</w:p>
          <w:p w14:paraId="1768D624" w14:textId="5C993222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Management and production </w:t>
            </w:r>
          </w:p>
          <w:p w14:paraId="122290CB" w14:textId="7C2526AE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Organizational structure of the modern economy Social production process and social product </w:t>
            </w:r>
          </w:p>
          <w:p w14:paraId="15590684" w14:textId="3849DA5F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Using a social product </w:t>
            </w:r>
          </w:p>
          <w:p w14:paraId="3EBEEFCA" w14:textId="044B3D6A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Natural composition of the social product Socioeconomic structure of the economy </w:t>
            </w:r>
          </w:p>
          <w:p w14:paraId="3E01E3D6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Further uses of the social product  </w:t>
            </w:r>
          </w:p>
          <w:p w14:paraId="698E5F35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</w:p>
          <w:p w14:paraId="15E765A0" w14:textId="77777777" w:rsidR="00EB192E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CRITERIA AND ORGANIZATION OF ECONOMIC DECISION </w:t>
            </w:r>
          </w:p>
          <w:p w14:paraId="4EBE268B" w14:textId="77777777" w:rsidR="0014205B" w:rsidRPr="0014205B" w:rsidRDefault="0014205B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</w:p>
          <w:p w14:paraId="4B5E7763" w14:textId="22586981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Decision-makers </w:t>
            </w:r>
          </w:p>
          <w:p w14:paraId="42DEE228" w14:textId="34D437C1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Efficiency of production factors </w:t>
            </w:r>
          </w:p>
          <w:p w14:paraId="68C8F017" w14:textId="4C6BC24D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Private and social product </w:t>
            </w:r>
          </w:p>
          <w:p w14:paraId="7FAF8FAC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Organization of economic decision-making  </w:t>
            </w:r>
          </w:p>
          <w:p w14:paraId="0D27BA37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</w:p>
          <w:p w14:paraId="481F85DB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TRADE </w:t>
            </w:r>
          </w:p>
          <w:p w14:paraId="7C5EED09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</w:p>
          <w:p w14:paraId="1C773B74" w14:textId="55E4C312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Introductory concepts </w:t>
            </w:r>
          </w:p>
          <w:p w14:paraId="50A75B38" w14:textId="441C6879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Supply and demand as a price factor </w:t>
            </w:r>
          </w:p>
          <w:p w14:paraId="5E2D85E9" w14:textId="10E0C91F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Demand factors </w:t>
            </w:r>
          </w:p>
          <w:p w14:paraId="5CE44C2C" w14:textId="1A90519A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Demonstration of usefulness and consumption by means of indifference curves </w:t>
            </w:r>
          </w:p>
          <w:p w14:paraId="03FC4237" w14:textId="2D974249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Prices and time </w:t>
            </w:r>
          </w:p>
          <w:p w14:paraId="29BF93E0" w14:textId="1ED6ACFC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Pure competition </w:t>
            </w:r>
          </w:p>
          <w:p w14:paraId="4063F512" w14:textId="2CB6F772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Complete competition </w:t>
            </w:r>
          </w:p>
          <w:p w14:paraId="6286E3B0" w14:textId="023F973A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Monopoly </w:t>
            </w:r>
          </w:p>
          <w:p w14:paraId="6BD9B45F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Monopolistic competition  </w:t>
            </w:r>
          </w:p>
          <w:p w14:paraId="19E98DC3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</w:p>
          <w:p w14:paraId="2FF01F06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>PRODUCTION</w:t>
            </w:r>
          </w:p>
          <w:p w14:paraId="29E2F0F6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</w:p>
          <w:p w14:paraId="5BBDED26" w14:textId="6FD97B35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General theory of production </w:t>
            </w:r>
          </w:p>
          <w:p w14:paraId="46961FDB" w14:textId="0558A2DC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Optimum exploitation of factors </w:t>
            </w:r>
          </w:p>
          <w:p w14:paraId="0850E87B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Optimal technique  </w:t>
            </w:r>
          </w:p>
          <w:p w14:paraId="22F37AF2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</w:p>
          <w:p w14:paraId="71C05B98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>DISTRIBUTION</w:t>
            </w:r>
          </w:p>
          <w:p w14:paraId="7B86D392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</w:p>
          <w:p w14:paraId="7E6F83E4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Demand for production factors </w:t>
            </w:r>
          </w:p>
          <w:p w14:paraId="534D2DD7" w14:textId="42833644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Supply of production factors </w:t>
            </w:r>
          </w:p>
          <w:p w14:paraId="21156A02" w14:textId="3EC59D3A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Balance in the market of production factors </w:t>
            </w:r>
          </w:p>
          <w:p w14:paraId="3FF3479E" w14:textId="3E2DA1B2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Distribution between major groups of production factors </w:t>
            </w:r>
          </w:p>
          <w:p w14:paraId="2DCA2039" w14:textId="77A10B84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Forms of organizing production in a modern economy </w:t>
            </w:r>
          </w:p>
          <w:p w14:paraId="3E42EA2C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Work theory of values </w:t>
            </w:r>
          </w:p>
          <w:p w14:paraId="281E6E0E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</w:p>
          <w:p w14:paraId="3270E149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lastRenderedPageBreak/>
              <w:t xml:space="preserve">The role of the factor is working according to the working theory of values  </w:t>
            </w:r>
          </w:p>
          <w:p w14:paraId="2F7F6AF6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</w:p>
          <w:p w14:paraId="4637371C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ECONOMIC GROWTH AND ITS DETERMINANTS </w:t>
            </w:r>
          </w:p>
          <w:p w14:paraId="4F49FB8C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</w:p>
          <w:p w14:paraId="2048FBF6" w14:textId="5C83CC89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Long-term economic growth and economic development </w:t>
            </w:r>
          </w:p>
          <w:p w14:paraId="585585B1" w14:textId="474A7AC3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Inequality of product increase and increase of income </w:t>
            </w:r>
          </w:p>
          <w:p w14:paraId="08E84FE9" w14:textId="0F546043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Inequality of product growth and growth of consumption </w:t>
            </w:r>
          </w:p>
          <w:p w14:paraId="7F095E3D" w14:textId="32FDA084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Final demand factors and ex ante equalization of growth in use with product growth </w:t>
            </w:r>
          </w:p>
          <w:p w14:paraId="07BFD235" w14:textId="4703A7F1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Equilibrium product </w:t>
            </w:r>
          </w:p>
          <w:p w14:paraId="625BBC7A" w14:textId="724EA708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An open economy </w:t>
            </w:r>
          </w:p>
          <w:p w14:paraId="4E37F5EF" w14:textId="4E6ADFFB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Fiskus - State account </w:t>
            </w:r>
          </w:p>
          <w:p w14:paraId="3AFA1DC2" w14:textId="751F869C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The theory of money </w:t>
            </w:r>
          </w:p>
          <w:p w14:paraId="480C19CB" w14:textId="557BF420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>Demand and offer money</w:t>
            </w:r>
          </w:p>
          <w:p w14:paraId="0AF75639" w14:textId="0F51475F" w:rsidR="005C240F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Money market </w:t>
            </w:r>
          </w:p>
          <w:p w14:paraId="4DB37AFC" w14:textId="77777777" w:rsidR="005C240F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Inflation  </w:t>
            </w:r>
          </w:p>
          <w:p w14:paraId="7981EAD0" w14:textId="77777777" w:rsidR="005C240F" w:rsidRPr="0014205B" w:rsidRDefault="005C240F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</w:p>
          <w:p w14:paraId="081A2288" w14:textId="77777777" w:rsidR="005C240F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ECONOMIC POLICY </w:t>
            </w:r>
          </w:p>
          <w:p w14:paraId="6DAB5D59" w14:textId="77777777" w:rsidR="005C240F" w:rsidRPr="0014205B" w:rsidRDefault="005C240F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</w:p>
          <w:p w14:paraId="5A8CABE7" w14:textId="72F9815E" w:rsidR="005C240F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Macroeconomic effects of economic policy measures </w:t>
            </w:r>
          </w:p>
          <w:p w14:paraId="61ABA691" w14:textId="77777777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-US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>Econometric assessment of basic macroeconomic relations for Slovenia</w:t>
            </w:r>
          </w:p>
          <w:p w14:paraId="1121E6DD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E1AD82C" w14:textId="77777777" w:rsidR="00ED7A71" w:rsidRPr="0014205B" w:rsidRDefault="00ED7A71" w:rsidP="0014205B">
      <w:pPr>
        <w:spacing w:after="0" w:line="240" w:lineRule="auto"/>
        <w:rPr>
          <w:rFonts w:ascii="Arial" w:hAnsi="Arial" w:cs="Arial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0"/>
        <w:gridCol w:w="697"/>
        <w:gridCol w:w="10"/>
        <w:gridCol w:w="142"/>
        <w:gridCol w:w="711"/>
        <w:gridCol w:w="4110"/>
      </w:tblGrid>
      <w:tr w:rsidR="00ED7A71" w:rsidRPr="0014205B" w14:paraId="321223DE" w14:textId="77777777" w:rsidTr="000F47DF">
        <w:tc>
          <w:tcPr>
            <w:tcW w:w="9695" w:type="dxa"/>
            <w:gridSpan w:val="6"/>
          </w:tcPr>
          <w:p w14:paraId="46E3F3F0" w14:textId="77777777" w:rsidR="00ED7A71" w:rsidRPr="0014205B" w:rsidRDefault="00ED7A71" w:rsidP="0014205B">
            <w:pPr>
              <w:spacing w:after="0" w:line="240" w:lineRule="auto"/>
              <w:jc w:val="both"/>
              <w:rPr>
                <w:rFonts w:ascii="Arial" w:hAnsi="Arial" w:cs="Arial"/>
                <w:b/>
                <w:lang w:val="it-IT"/>
              </w:rPr>
            </w:pPr>
            <w:r w:rsidRPr="0014205B">
              <w:rPr>
                <w:rFonts w:ascii="Arial" w:hAnsi="Arial" w:cs="Arial"/>
                <w:lang w:val="it-IT"/>
              </w:rPr>
              <w:br w:type="page"/>
            </w:r>
            <w:r w:rsidRPr="0014205B">
              <w:rPr>
                <w:rFonts w:ascii="Arial" w:hAnsi="Arial" w:cs="Arial"/>
                <w:b/>
                <w:lang w:val="it-IT"/>
              </w:rPr>
              <w:t>Temeljni literatura in viri / Readings:</w:t>
            </w:r>
          </w:p>
        </w:tc>
      </w:tr>
      <w:tr w:rsidR="00ED7A71" w:rsidRPr="0014205B" w14:paraId="1E2BABDA" w14:textId="77777777" w:rsidTr="000F47DF">
        <w:trPr>
          <w:trHeight w:val="2074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C1C7" w14:textId="77777777" w:rsidR="000F47DF" w:rsidRPr="0014205B" w:rsidRDefault="000F47DF" w:rsidP="0014205B">
            <w:p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t>Bajt A., Štiblar F.: Ekonomija, GV, Ljubljana 2004</w:t>
            </w:r>
          </w:p>
          <w:p w14:paraId="2174F019" w14:textId="77777777" w:rsidR="00ED7A71" w:rsidRPr="0014205B" w:rsidRDefault="000F47DF" w:rsidP="0014205B">
            <w:pPr>
              <w:spacing w:after="0"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14205B">
              <w:rPr>
                <w:rFonts w:ascii="Arial" w:hAnsi="Arial" w:cs="Arial"/>
              </w:rPr>
              <w:t>Zajc K., Nanut M.: Repetitorij - ekonomija, GV, Ljubljana, 2004</w:t>
            </w:r>
          </w:p>
        </w:tc>
      </w:tr>
      <w:tr w:rsidR="00ED7A71" w:rsidRPr="0014205B" w14:paraId="18822B5E" w14:textId="77777777" w:rsidTr="000F47DF">
        <w:trPr>
          <w:trHeight w:val="73"/>
        </w:trPr>
        <w:tc>
          <w:tcPr>
            <w:tcW w:w="4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C8997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  <w:bCs/>
                <w:lang w:val="it-IT"/>
              </w:rPr>
            </w:pPr>
          </w:p>
          <w:p w14:paraId="3AE70C98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Cilji in kompetence:</w:t>
            </w:r>
          </w:p>
        </w:tc>
        <w:tc>
          <w:tcPr>
            <w:tcW w:w="152" w:type="dxa"/>
            <w:gridSpan w:val="2"/>
          </w:tcPr>
          <w:p w14:paraId="4CDAF989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3E034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4DCDFCA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Objectives and competences:</w:t>
            </w:r>
          </w:p>
        </w:tc>
      </w:tr>
      <w:tr w:rsidR="00ED7A71" w:rsidRPr="0014205B" w14:paraId="5B71626F" w14:textId="77777777" w:rsidTr="000F47DF">
        <w:trPr>
          <w:trHeight w:val="1838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669A" w14:textId="77777777" w:rsidR="00ED7A71" w:rsidRPr="0014205B" w:rsidRDefault="000F47DF" w:rsidP="0014205B">
            <w:p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t>Pridobitev ekonomskih znanj, kar pravniku omogoča poznavanje makro, mezzo in mikro gospodarstva kot osnovnih področij normiranja in aplikacije prava.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AF74A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A773" w14:textId="438BC7FE" w:rsidR="00EB192E" w:rsidRPr="0014205B" w:rsidRDefault="00EB192E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-US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Acquisition of economic knowledge, which allows a lawyer to </w:t>
            </w:r>
            <w:r w:rsidR="00B40F49" w:rsidRPr="0014205B">
              <w:rPr>
                <w:rFonts w:ascii="Arial" w:eastAsiaTheme="minorHAnsi" w:hAnsi="Arial" w:cs="Arial"/>
                <w:color w:val="212121"/>
                <w:lang w:val="en"/>
              </w:rPr>
              <w:t>understand the concepts of</w:t>
            </w: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 macro, mezzo and micro econom</w:t>
            </w:r>
            <w:r w:rsidR="00B40F49" w:rsidRPr="0014205B">
              <w:rPr>
                <w:rFonts w:ascii="Arial" w:eastAsiaTheme="minorHAnsi" w:hAnsi="Arial" w:cs="Arial"/>
                <w:color w:val="212121"/>
                <w:lang w:val="en"/>
              </w:rPr>
              <w:t>ics</w:t>
            </w: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 as the basic areas of standardization and application of law.</w:t>
            </w:r>
          </w:p>
          <w:p w14:paraId="629DD140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D7A71" w:rsidRPr="0014205B" w14:paraId="18EBCC51" w14:textId="77777777" w:rsidTr="000F47DF">
        <w:trPr>
          <w:trHeight w:val="117"/>
        </w:trPr>
        <w:tc>
          <w:tcPr>
            <w:tcW w:w="4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A2287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66B6596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Predvideni študijski rezultati:</w:t>
            </w:r>
          </w:p>
        </w:tc>
        <w:tc>
          <w:tcPr>
            <w:tcW w:w="142" w:type="dxa"/>
          </w:tcPr>
          <w:p w14:paraId="112535D0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B8E2C07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BDC9C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B8B453C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Intended learning outcomes:</w:t>
            </w:r>
          </w:p>
        </w:tc>
      </w:tr>
      <w:tr w:rsidR="00ED7A71" w:rsidRPr="0014205B" w14:paraId="7A9105C7" w14:textId="77777777" w:rsidTr="000F47DF">
        <w:trPr>
          <w:trHeight w:val="1387"/>
        </w:trPr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09F7C6" w14:textId="77777777" w:rsidR="000F47DF" w:rsidRPr="0014205B" w:rsidRDefault="000F47DF" w:rsidP="0014205B">
            <w:p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lastRenderedPageBreak/>
              <w:t>Študent pridobi ekonomsko znanje in razumevanje, ki je vsebinski temelj, na katerega aplicira pravno formo.</w:t>
            </w:r>
          </w:p>
          <w:p w14:paraId="68E4DD3F" w14:textId="77777777" w:rsidR="0014205B" w:rsidRDefault="0014205B" w:rsidP="0014205B">
            <w:pPr>
              <w:spacing w:after="0" w:line="240" w:lineRule="auto"/>
              <w:rPr>
                <w:rFonts w:ascii="Arial" w:hAnsi="Arial" w:cs="Arial"/>
              </w:rPr>
            </w:pPr>
          </w:p>
          <w:p w14:paraId="7E73312E" w14:textId="77777777" w:rsidR="000F47DF" w:rsidRPr="0014205B" w:rsidRDefault="000F47DF" w:rsidP="0014205B">
            <w:p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t>Pridobljeno znanje je uporabno zlasti posredno, saj pravniku zagotavlja poznavanje gospodarskega okolja, za katerega kreira pravo ali nanj aplicira pravo.</w:t>
            </w:r>
          </w:p>
          <w:p w14:paraId="2432B224" w14:textId="77777777" w:rsidR="000F47DF" w:rsidRPr="0014205B" w:rsidRDefault="000F47DF" w:rsidP="0014205B">
            <w:p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t>Pridobljeno znanje brani pred teoretično (vsebinsko) nesmiselnimi pravno formalno lahko sprejemljivimi rešitvami gospodarske problematike.</w:t>
            </w:r>
          </w:p>
          <w:p w14:paraId="47E8CF71" w14:textId="77777777" w:rsidR="00ED7A71" w:rsidRPr="0014205B" w:rsidRDefault="000F47DF" w:rsidP="0014205B">
            <w:p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t>Predmet se povezuje z drugimi predmeti ekonomskega področja, hkrati pa predstavlja tudi osnovo vsem pozitivnopravnim predmetom in pravnikovemu poklicnemu udejstvovanju, saj omogoča poznavanje (ekonomskega) okolja, v katerem deluje.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AFD03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</w:p>
          <w:p w14:paraId="28794990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</w:p>
          <w:p w14:paraId="5007DB40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72FA18" w14:textId="50036D8D" w:rsidR="00C73255" w:rsidRPr="0014205B" w:rsidRDefault="00C73255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>The student acquires economic knowledge and understanding, which is basis</w:t>
            </w:r>
            <w:r w:rsidR="004D56E6" w:rsidRPr="0014205B">
              <w:rPr>
                <w:rFonts w:ascii="Arial" w:eastAsiaTheme="minorHAnsi" w:hAnsi="Arial" w:cs="Arial"/>
                <w:color w:val="212121"/>
                <w:lang w:val="en"/>
              </w:rPr>
              <w:t>.</w:t>
            </w: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for applying to the understanding legal institutions. </w:t>
            </w:r>
          </w:p>
          <w:p w14:paraId="4DF14E5F" w14:textId="77777777" w:rsidR="00C73255" w:rsidRPr="0014205B" w:rsidRDefault="00C73255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"/>
              </w:rPr>
            </w:pPr>
          </w:p>
          <w:p w14:paraId="3D5882AE" w14:textId="3AC7A576" w:rsidR="00C73255" w:rsidRPr="0014205B" w:rsidRDefault="00C73255" w:rsidP="00142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Theme="minorHAnsi" w:hAnsi="Arial" w:cs="Arial"/>
                <w:color w:val="212121"/>
                <w:lang w:val="en-US"/>
              </w:rPr>
            </w:pP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The acquired knowledge is especially useful indirectly, since it </w:t>
            </w:r>
            <w:r w:rsidR="004D56E6" w:rsidRPr="0014205B">
              <w:rPr>
                <w:rFonts w:ascii="Arial" w:eastAsiaTheme="minorHAnsi" w:hAnsi="Arial" w:cs="Arial"/>
                <w:color w:val="212121"/>
                <w:lang w:val="en"/>
              </w:rPr>
              <w:t>equips</w:t>
            </w: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 the lawyer </w:t>
            </w:r>
            <w:r w:rsidR="004D56E6"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with the </w:t>
            </w: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knowledge of the economic environment for which the law is created or applied to. Acquired knowledge helps students and </w:t>
            </w:r>
            <w:r w:rsidR="004D56E6"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future </w:t>
            </w: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lawyers to apply </w:t>
            </w:r>
            <w:r w:rsidR="004D56E6"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the </w:t>
            </w: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>legal rules with</w:t>
            </w:r>
            <w:r w:rsidR="004D56E6"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 a more profound</w:t>
            </w: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 understan</w:t>
            </w:r>
            <w:r w:rsidR="004D56E6" w:rsidRPr="0014205B">
              <w:rPr>
                <w:rFonts w:ascii="Arial" w:eastAsiaTheme="minorHAnsi" w:hAnsi="Arial" w:cs="Arial"/>
                <w:color w:val="212121"/>
                <w:lang w:val="en"/>
              </w:rPr>
              <w:t>d</w:t>
            </w: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>ing. The subject is connected with other eco</w:t>
            </w:r>
            <w:r w:rsidR="004D56E6"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nomic </w:t>
            </w: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>subjects taught at Law School</w:t>
            </w:r>
            <w:r w:rsidR="004D56E6" w:rsidRPr="0014205B">
              <w:rPr>
                <w:rFonts w:ascii="Arial" w:eastAsiaTheme="minorHAnsi" w:hAnsi="Arial" w:cs="Arial"/>
                <w:color w:val="212121"/>
                <w:lang w:val="en"/>
              </w:rPr>
              <w:t>. A</w:t>
            </w: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>t the same time</w:t>
            </w:r>
            <w:r w:rsidR="004D56E6" w:rsidRPr="0014205B">
              <w:rPr>
                <w:rFonts w:ascii="Arial" w:eastAsiaTheme="minorHAnsi" w:hAnsi="Arial" w:cs="Arial"/>
                <w:color w:val="212121"/>
                <w:lang w:val="en"/>
              </w:rPr>
              <w:t>,</w:t>
            </w: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 it represents the basis for all </w:t>
            </w:r>
            <w:r w:rsidR="004D56E6" w:rsidRPr="0014205B">
              <w:rPr>
                <w:rFonts w:ascii="Arial" w:eastAsiaTheme="minorHAnsi" w:hAnsi="Arial" w:cs="Arial"/>
                <w:color w:val="212121"/>
                <w:lang w:val="en"/>
              </w:rPr>
              <w:t>core legal</w:t>
            </w: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 subjects and the legal professional engagements</w:t>
            </w:r>
            <w:r w:rsidR="004D56E6" w:rsidRPr="0014205B">
              <w:rPr>
                <w:rFonts w:ascii="Arial" w:eastAsiaTheme="minorHAnsi" w:hAnsi="Arial" w:cs="Arial"/>
                <w:color w:val="212121"/>
                <w:lang w:val="en"/>
              </w:rPr>
              <w:t>. This is because</w:t>
            </w: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 </w:t>
            </w:r>
            <w:r w:rsidR="004D56E6" w:rsidRPr="0014205B">
              <w:rPr>
                <w:rFonts w:ascii="Arial" w:eastAsiaTheme="minorHAnsi" w:hAnsi="Arial" w:cs="Arial"/>
                <w:color w:val="212121"/>
                <w:lang w:val="en"/>
              </w:rPr>
              <w:t>the course</w:t>
            </w: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 </w:t>
            </w:r>
            <w:r w:rsidR="004D56E6" w:rsidRPr="0014205B">
              <w:rPr>
                <w:rFonts w:ascii="Arial" w:eastAsiaTheme="minorHAnsi" w:hAnsi="Arial" w:cs="Arial"/>
                <w:color w:val="212121"/>
                <w:lang w:val="en"/>
              </w:rPr>
              <w:t>facilitates the</w:t>
            </w: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 knowledge of the (economic) environment in which </w:t>
            </w:r>
            <w:r w:rsidR="004D56E6" w:rsidRPr="0014205B">
              <w:rPr>
                <w:rFonts w:ascii="Arial" w:eastAsiaTheme="minorHAnsi" w:hAnsi="Arial" w:cs="Arial"/>
                <w:color w:val="212121"/>
                <w:lang w:val="en"/>
              </w:rPr>
              <w:t>lawyers</w:t>
            </w:r>
            <w:r w:rsidRPr="0014205B">
              <w:rPr>
                <w:rFonts w:ascii="Arial" w:eastAsiaTheme="minorHAnsi" w:hAnsi="Arial" w:cs="Arial"/>
                <w:color w:val="212121"/>
                <w:lang w:val="en"/>
              </w:rPr>
              <w:t xml:space="preserve"> operate.</w:t>
            </w:r>
          </w:p>
          <w:p w14:paraId="079A23D5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</w:p>
          <w:p w14:paraId="3F5D54F5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D7A71" w:rsidRPr="0014205B" w14:paraId="11268BC4" w14:textId="77777777" w:rsidTr="000F47DF">
        <w:trPr>
          <w:trHeight w:val="1417"/>
        </w:trPr>
        <w:tc>
          <w:tcPr>
            <w:tcW w:w="47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AE23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03E85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4AEF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D7A71" w:rsidRPr="0014205B" w14:paraId="31C6125A" w14:textId="77777777" w:rsidTr="000F47DF">
        <w:tc>
          <w:tcPr>
            <w:tcW w:w="4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CA8FC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C7B89A9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Metode poučevanja in učenja:</w:t>
            </w:r>
          </w:p>
        </w:tc>
        <w:tc>
          <w:tcPr>
            <w:tcW w:w="142" w:type="dxa"/>
          </w:tcPr>
          <w:p w14:paraId="0A5D087E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E1B730F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9E382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239E2FE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Learning and teaching methods:</w:t>
            </w:r>
          </w:p>
        </w:tc>
      </w:tr>
      <w:tr w:rsidR="00ED7A71" w:rsidRPr="0014205B" w14:paraId="4C5EDF55" w14:textId="77777777" w:rsidTr="000F47DF">
        <w:trPr>
          <w:trHeight w:val="2023"/>
        </w:trPr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5B6" w14:textId="77777777" w:rsidR="000F47DF" w:rsidRPr="0014205B" w:rsidRDefault="000F47DF" w:rsidP="0014205B">
            <w:p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t>- predavanja (posredovanje temeljnih teoretičnih znanj),</w:t>
            </w:r>
          </w:p>
          <w:p w14:paraId="163FA7BE" w14:textId="77777777" w:rsidR="00ED7A71" w:rsidRPr="0014205B" w:rsidRDefault="000F47DF" w:rsidP="0014205B">
            <w:p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t>- vaje (reševanje problemov, pregled rezultatov samostojnega dela)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2E896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7DB0" w14:textId="77777777" w:rsidR="00ED7A71" w:rsidRPr="0014205B" w:rsidRDefault="000F47DF" w:rsidP="0014205B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t>lectures (theoretical knowledge)</w:t>
            </w:r>
          </w:p>
          <w:p w14:paraId="47EF8F72" w14:textId="77777777" w:rsidR="000F47DF" w:rsidRPr="0014205B" w:rsidRDefault="000F47DF" w:rsidP="0014205B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t>exercises (problem solving)</w:t>
            </w:r>
          </w:p>
        </w:tc>
      </w:tr>
      <w:tr w:rsidR="00ED7A71" w:rsidRPr="0014205B" w14:paraId="6975F641" w14:textId="77777777" w:rsidTr="000F47DF"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A8E54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0230D2D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D371C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t>Delež (v %) /</w:t>
            </w:r>
          </w:p>
          <w:p w14:paraId="24F81D1E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</w:rPr>
              <w:t>Weight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1C9C2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7260AB7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>Assessment:</w:t>
            </w:r>
          </w:p>
        </w:tc>
      </w:tr>
      <w:tr w:rsidR="00ED7A71" w:rsidRPr="0014205B" w14:paraId="326EC54C" w14:textId="77777777" w:rsidTr="000F47DF">
        <w:trPr>
          <w:trHeight w:val="1104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0B67" w14:textId="77777777" w:rsidR="000F47DF" w:rsidRPr="0014205B" w:rsidRDefault="000F47DF" w:rsidP="0014205B">
            <w:p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t>Način:</w:t>
            </w:r>
          </w:p>
          <w:p w14:paraId="3E436EEC" w14:textId="1823786F" w:rsidR="000F47DF" w:rsidRPr="0014205B" w:rsidRDefault="00ED7A71" w:rsidP="0014205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t>pisni izpit</w:t>
            </w:r>
          </w:p>
          <w:p w14:paraId="45F31CA0" w14:textId="77777777" w:rsidR="00BE6723" w:rsidRPr="0014205B" w:rsidRDefault="00BE6723" w:rsidP="0014205B">
            <w:pPr>
              <w:pStyle w:val="Odstavekseznama"/>
              <w:spacing w:after="0" w:line="240" w:lineRule="auto"/>
              <w:rPr>
                <w:rFonts w:ascii="Arial" w:hAnsi="Arial" w:cs="Arial"/>
              </w:rPr>
            </w:pPr>
          </w:p>
          <w:p w14:paraId="3C031AFE" w14:textId="53C4AFFF" w:rsidR="00ED7A71" w:rsidRDefault="000F47DF" w:rsidP="0014205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t>u</w:t>
            </w:r>
            <w:r w:rsidR="00ED7A71" w:rsidRPr="0014205B">
              <w:rPr>
                <w:rFonts w:ascii="Arial" w:hAnsi="Arial" w:cs="Arial"/>
              </w:rPr>
              <w:t>stn</w:t>
            </w:r>
            <w:r w:rsidRPr="0014205B">
              <w:rPr>
                <w:rFonts w:ascii="Arial" w:hAnsi="Arial" w:cs="Arial"/>
              </w:rPr>
              <w:t>o izpraševanje</w:t>
            </w:r>
          </w:p>
          <w:p w14:paraId="3BA0ADE4" w14:textId="439915DA" w:rsidR="006C36FD" w:rsidRPr="006C36FD" w:rsidRDefault="006C36FD" w:rsidP="006C36FD">
            <w:pPr>
              <w:spacing w:after="0" w:line="240" w:lineRule="auto"/>
              <w:rPr>
                <w:rFonts w:ascii="Arial" w:hAnsi="Arial" w:cs="Arial"/>
              </w:rPr>
            </w:pPr>
          </w:p>
          <w:p w14:paraId="3D99E3CB" w14:textId="77777777" w:rsidR="006C36FD" w:rsidRPr="006430F8" w:rsidRDefault="006C36FD" w:rsidP="006C36FD">
            <w:pPr>
              <w:rPr>
                <w:rFonts w:ascii="Arial" w:eastAsia="MS Mincho" w:hAnsi="Arial" w:cs="Arial"/>
                <w:lang w:val="it-IT"/>
              </w:rPr>
            </w:pPr>
            <w:r w:rsidRPr="006430F8">
              <w:rPr>
                <w:rFonts w:ascii="Arial" w:eastAsia="MS Mincho" w:hAnsi="Arial" w:cs="Arial"/>
                <w:noProof/>
                <w:lang w:val="it-IT"/>
              </w:rPr>
              <w:t>Izpit se oceni z ocenjevalno lestvico od 5 - 10:</w:t>
            </w:r>
            <w:r w:rsidRPr="006430F8">
              <w:rPr>
                <w:rFonts w:ascii="Arial" w:eastAsia="MS Mincho" w:hAnsi="Arial" w:cs="Arial"/>
                <w:lang w:val="it-IT"/>
              </w:rPr>
              <w:t xml:space="preserve"> </w:t>
            </w:r>
            <w:r w:rsidRPr="006430F8">
              <w:rPr>
                <w:rFonts w:ascii="Arial" w:eastAsia="MS Mincho" w:hAnsi="Arial" w:cs="Arial"/>
                <w:noProof/>
                <w:lang w:val="it-IT"/>
              </w:rPr>
              <w:t>od 6-10 (pozitivno) oziroma 5 (negativno); ob upoštevanju Statuta UL in pravil Pravne fakultete.</w:t>
            </w:r>
          </w:p>
          <w:p w14:paraId="5E2F5225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862F0" w14:textId="77777777" w:rsidR="00BE6723" w:rsidRPr="0014205B" w:rsidRDefault="00BE6723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0CD4F66" w14:textId="1E128AED" w:rsidR="00ED7A71" w:rsidRPr="0014205B" w:rsidRDefault="00BE6723" w:rsidP="0014205B">
            <w:p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t>80%</w:t>
            </w:r>
          </w:p>
          <w:p w14:paraId="2F089B85" w14:textId="77777777" w:rsidR="0014205B" w:rsidRPr="0014205B" w:rsidRDefault="0014205B" w:rsidP="0014205B">
            <w:pPr>
              <w:spacing w:after="0" w:line="240" w:lineRule="auto"/>
              <w:rPr>
                <w:rFonts w:ascii="Arial" w:hAnsi="Arial" w:cs="Arial"/>
              </w:rPr>
            </w:pPr>
          </w:p>
          <w:p w14:paraId="651CD489" w14:textId="1A9DFCD2" w:rsidR="00BE6723" w:rsidRPr="0014205B" w:rsidRDefault="00BE6723" w:rsidP="0014205B">
            <w:p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t>20%</w:t>
            </w:r>
          </w:p>
          <w:p w14:paraId="39F8BDD6" w14:textId="77777777" w:rsidR="00BE6723" w:rsidRPr="0014205B" w:rsidRDefault="00BE6723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86F4768" w14:textId="7670EC0E" w:rsidR="00BE6723" w:rsidRPr="0014205B" w:rsidRDefault="00BE6723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452F" w14:textId="77777777" w:rsidR="00ED7A71" w:rsidRPr="0014205B" w:rsidRDefault="000F47DF" w:rsidP="0014205B">
            <w:p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t>Type:</w:t>
            </w:r>
          </w:p>
          <w:p w14:paraId="3E520533" w14:textId="1A11B0B1" w:rsidR="000F47DF" w:rsidRPr="0014205B" w:rsidRDefault="000F47DF" w:rsidP="0014205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t xml:space="preserve">written exam </w:t>
            </w:r>
          </w:p>
          <w:p w14:paraId="4D4C0AE8" w14:textId="77777777" w:rsidR="00BE6723" w:rsidRPr="0014205B" w:rsidRDefault="00BE6723" w:rsidP="0014205B">
            <w:pPr>
              <w:pStyle w:val="Odstavekseznama"/>
              <w:spacing w:after="0" w:line="240" w:lineRule="auto"/>
              <w:rPr>
                <w:rFonts w:ascii="Arial" w:hAnsi="Arial" w:cs="Arial"/>
              </w:rPr>
            </w:pPr>
          </w:p>
          <w:p w14:paraId="7C2AF9EB" w14:textId="77777777" w:rsidR="000F47DF" w:rsidRDefault="000F47DF" w:rsidP="0014205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14205B">
              <w:rPr>
                <w:rFonts w:ascii="Arial" w:hAnsi="Arial" w:cs="Arial"/>
              </w:rPr>
              <w:t>oral exam</w:t>
            </w:r>
          </w:p>
          <w:p w14:paraId="7712847B" w14:textId="77777777" w:rsidR="006C36FD" w:rsidRDefault="006C36FD" w:rsidP="006C36FD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  <w:p w14:paraId="6B9E494B" w14:textId="6A270C5F" w:rsidR="006C36FD" w:rsidRPr="006C36FD" w:rsidRDefault="006C36FD" w:rsidP="006C36FD">
            <w:pPr>
              <w:spacing w:after="0" w:line="240" w:lineRule="auto"/>
              <w:rPr>
                <w:rFonts w:ascii="Arial" w:hAnsi="Arial" w:cs="Arial"/>
              </w:rPr>
            </w:pPr>
            <w:r w:rsidRPr="006430F8">
              <w:rPr>
                <w:rFonts w:ascii="Arial" w:eastAsia="MS Mincho" w:hAnsi="Arial" w:cs="Arial"/>
              </w:rPr>
              <w:t>The exam is assessed on the scale 5 to 10: 6–10 (passing grades) and 5 (fail); in compliance with the Statute of the University of Ljubljana and the Rules of the Faculty of Law.</w:t>
            </w:r>
          </w:p>
        </w:tc>
      </w:tr>
      <w:tr w:rsidR="00ED7A71" w:rsidRPr="0014205B" w14:paraId="6EA43171" w14:textId="77777777" w:rsidTr="000F47DF">
        <w:tc>
          <w:tcPr>
            <w:tcW w:w="96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3C29C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59DB7E1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205B">
              <w:rPr>
                <w:rFonts w:ascii="Arial" w:hAnsi="Arial" w:cs="Arial"/>
                <w:b/>
              </w:rPr>
              <w:t xml:space="preserve">Reference nosilca / Lecturer's references: </w:t>
            </w:r>
          </w:p>
        </w:tc>
      </w:tr>
      <w:tr w:rsidR="00ED7A71" w:rsidRPr="0014205B" w14:paraId="10318066" w14:textId="77777777" w:rsidTr="000F47DF"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64E" w14:textId="77777777" w:rsidR="0045007E" w:rsidRPr="0014205B" w:rsidRDefault="0045007E" w:rsidP="0014205B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4205B">
              <w:rPr>
                <w:rFonts w:ascii="Arial" w:hAnsi="Arial" w:cs="Arial"/>
                <w:sz w:val="22"/>
                <w:szCs w:val="22"/>
              </w:rPr>
              <w:t xml:space="preserve">Grajzl, Peter, Dimitrova-Grajzl, Valentina, Zajc, Katarina. Inside post-socialist courts : the determinants of adjudicatory outcomes in Slovenian commercial disputes. </w:t>
            </w:r>
            <w:r w:rsidRPr="0014205B">
              <w:rPr>
                <w:rFonts w:ascii="Arial" w:hAnsi="Arial" w:cs="Arial"/>
                <w:i/>
                <w:iCs/>
                <w:sz w:val="22"/>
                <w:szCs w:val="22"/>
              </w:rPr>
              <w:t>European journal of law and economics</w:t>
            </w:r>
            <w:r w:rsidRPr="0014205B">
              <w:rPr>
                <w:rFonts w:ascii="Arial" w:hAnsi="Arial" w:cs="Arial"/>
                <w:sz w:val="22"/>
                <w:szCs w:val="22"/>
              </w:rPr>
              <w:t xml:space="preserve">, Feb. 2016, vol. 41, iss. 1, p.8 </w:t>
            </w:r>
          </w:p>
          <w:p w14:paraId="78430ACA" w14:textId="77777777" w:rsidR="0014205B" w:rsidRDefault="0014205B" w:rsidP="0014205B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0C63F37" w14:textId="77777777" w:rsidR="0045007E" w:rsidRPr="0014205B" w:rsidRDefault="0045007E" w:rsidP="0014205B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4205B">
              <w:rPr>
                <w:rFonts w:ascii="Arial" w:hAnsi="Arial" w:cs="Arial"/>
                <w:sz w:val="22"/>
                <w:szCs w:val="22"/>
              </w:rPr>
              <w:lastRenderedPageBreak/>
              <w:t xml:space="preserve">Grajzl, Peter, Valentina Dimitrova-Grajzl, Atanas Slavov, and Katarina Zajc Courts in a Transition Economy: Case Disposition and the Quantity-Quality Tradeoff in Bulgaria," </w:t>
            </w:r>
            <w:r w:rsidRPr="0014205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Economic Systems, </w:t>
            </w:r>
            <w:r w:rsidRPr="0014205B">
              <w:rPr>
                <w:rFonts w:ascii="Arial" w:hAnsi="Arial" w:cs="Arial"/>
                <w:sz w:val="22"/>
                <w:szCs w:val="22"/>
              </w:rPr>
              <w:t>Mar. 2016, vol. 40, iss. 1, pp. 18-38.</w:t>
            </w:r>
            <w:r w:rsidRPr="0014205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3F01E08B" w14:textId="77777777" w:rsidR="0014205B" w:rsidRDefault="0014205B" w:rsidP="0014205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00741BDE" w14:textId="77777777" w:rsidR="0045007E" w:rsidRPr="0014205B" w:rsidRDefault="0045007E" w:rsidP="0014205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05B">
              <w:rPr>
                <w:rFonts w:ascii="Arial" w:eastAsia="Times New Roman" w:hAnsi="Arial" w:cs="Arial"/>
                <w:color w:val="000000"/>
              </w:rPr>
              <w:t>CEPEC, Jaka, GRAJŽL, Peter, ZAJC, Katarina. Do liquidation trustee characteristics matter for firm liquidation outcomes? : evidence from Slovenia.</w:t>
            </w:r>
            <w:r w:rsidRPr="0014205B">
              <w:rPr>
                <w:rStyle w:val="apple-converted-space"/>
                <w:rFonts w:ascii="Arial" w:eastAsia="Times New Roman" w:hAnsi="Arial" w:cs="Arial"/>
                <w:color w:val="000000"/>
              </w:rPr>
              <w:t> </w:t>
            </w:r>
            <w:r w:rsidRPr="0014205B">
              <w:rPr>
                <w:rFonts w:ascii="Arial" w:eastAsia="Times New Roman" w:hAnsi="Arial" w:cs="Arial"/>
                <w:i/>
                <w:iCs/>
                <w:color w:val="000000"/>
              </w:rPr>
              <w:t>Economic systems</w:t>
            </w:r>
            <w:r w:rsidRPr="0014205B">
              <w:rPr>
                <w:rFonts w:ascii="Arial" w:eastAsia="Times New Roman" w:hAnsi="Arial" w:cs="Arial"/>
                <w:color w:val="000000"/>
              </w:rPr>
              <w:t xml:space="preserve">, ISSN 0939-3625, Dec. 2017, vol.41, iss.4, pp. 591-609, </w:t>
            </w:r>
            <w:r w:rsidRPr="0014205B">
              <w:rPr>
                <w:rFonts w:ascii="Arial" w:eastAsia="Times New Roman" w:hAnsi="Arial" w:cs="Arial"/>
                <w:color w:val="000000"/>
              </w:rPr>
              <w:br/>
            </w:r>
          </w:p>
          <w:p w14:paraId="015DC2EF" w14:textId="77777777" w:rsidR="0045007E" w:rsidRPr="0014205B" w:rsidRDefault="0045007E" w:rsidP="0014205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205B">
              <w:rPr>
                <w:rFonts w:ascii="Arial" w:hAnsi="Arial" w:cs="Arial"/>
                <w:color w:val="000000"/>
              </w:rPr>
              <w:t>GRAJŽL, Peter, ZAJC, Katarina. Litigation and the timing of settlement : evidence from commercial disputes.</w:t>
            </w:r>
            <w:r w:rsidRPr="0014205B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Pr="0014205B">
              <w:rPr>
                <w:rFonts w:ascii="Arial" w:hAnsi="Arial" w:cs="Arial"/>
                <w:i/>
                <w:iCs/>
                <w:color w:val="000000"/>
              </w:rPr>
              <w:t>European journal of law and economics</w:t>
            </w:r>
            <w:r w:rsidRPr="0014205B">
              <w:rPr>
                <w:rFonts w:ascii="Arial" w:hAnsi="Arial" w:cs="Arial"/>
                <w:color w:val="000000"/>
              </w:rPr>
              <w:t xml:space="preserve">, ISSN 0929-1261, May 2017, vol. 44, iss. 2, pp. 287-319. </w:t>
            </w:r>
          </w:p>
          <w:p w14:paraId="050BEF8B" w14:textId="77777777" w:rsidR="0045007E" w:rsidRPr="0014205B" w:rsidRDefault="0045007E" w:rsidP="0014205B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C099BD0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</w:p>
          <w:p w14:paraId="07AB3370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</w:p>
          <w:p w14:paraId="4DE0FDFE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</w:p>
          <w:p w14:paraId="4B7CDCDA" w14:textId="77777777" w:rsidR="00ED7A71" w:rsidRPr="0014205B" w:rsidRDefault="00ED7A71" w:rsidP="0014205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6177D6E" w14:textId="77777777" w:rsidR="00ED7A71" w:rsidRPr="0014205B" w:rsidRDefault="00ED7A71" w:rsidP="0014205B">
      <w:pPr>
        <w:spacing w:after="0" w:line="240" w:lineRule="auto"/>
        <w:rPr>
          <w:rFonts w:ascii="Arial" w:hAnsi="Arial" w:cs="Arial"/>
        </w:rPr>
      </w:pPr>
    </w:p>
    <w:p w14:paraId="5E33BD86" w14:textId="77777777" w:rsidR="00ED7A71" w:rsidRPr="0014205B" w:rsidRDefault="00ED7A71" w:rsidP="0014205B">
      <w:pPr>
        <w:spacing w:after="0" w:line="240" w:lineRule="auto"/>
        <w:rPr>
          <w:rFonts w:ascii="Arial" w:hAnsi="Arial" w:cs="Arial"/>
          <w:lang w:val="sl-SI"/>
        </w:rPr>
      </w:pPr>
    </w:p>
    <w:p w14:paraId="01FAB259" w14:textId="77777777" w:rsidR="00ED7A71" w:rsidRPr="0014205B" w:rsidRDefault="00ED7A71" w:rsidP="0014205B">
      <w:pPr>
        <w:spacing w:after="0" w:line="240" w:lineRule="auto"/>
        <w:rPr>
          <w:rFonts w:ascii="Arial" w:eastAsia="Times New Roman" w:hAnsi="Arial" w:cs="Arial"/>
          <w:lang w:val="sl-SI" w:eastAsia="sl-SI"/>
        </w:rPr>
      </w:pPr>
    </w:p>
    <w:p w14:paraId="0998ACB1" w14:textId="77777777" w:rsidR="006E0E76" w:rsidRPr="0014205B" w:rsidRDefault="006E0E76" w:rsidP="0014205B">
      <w:pPr>
        <w:spacing w:after="0" w:line="240" w:lineRule="auto"/>
        <w:rPr>
          <w:rFonts w:ascii="Arial" w:hAnsi="Arial" w:cs="Arial"/>
        </w:rPr>
      </w:pPr>
    </w:p>
    <w:sectPr w:rsidR="006E0E76" w:rsidRPr="00142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D5E2D"/>
    <w:multiLevelType w:val="hybridMultilevel"/>
    <w:tmpl w:val="92228FBA"/>
    <w:lvl w:ilvl="0" w:tplc="F9E44140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524DB"/>
    <w:multiLevelType w:val="hybridMultilevel"/>
    <w:tmpl w:val="BBDA2E0E"/>
    <w:lvl w:ilvl="0" w:tplc="A57036D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71"/>
    <w:rsid w:val="000F47DF"/>
    <w:rsid w:val="0014205B"/>
    <w:rsid w:val="00195396"/>
    <w:rsid w:val="004367E7"/>
    <w:rsid w:val="0045007E"/>
    <w:rsid w:val="004D56E6"/>
    <w:rsid w:val="005635E1"/>
    <w:rsid w:val="00594FBD"/>
    <w:rsid w:val="005C240F"/>
    <w:rsid w:val="005C6C45"/>
    <w:rsid w:val="006644CF"/>
    <w:rsid w:val="006C36FD"/>
    <w:rsid w:val="006E0E76"/>
    <w:rsid w:val="00755060"/>
    <w:rsid w:val="00933F3F"/>
    <w:rsid w:val="009C5A6C"/>
    <w:rsid w:val="00A176D5"/>
    <w:rsid w:val="00A82535"/>
    <w:rsid w:val="00AF71FE"/>
    <w:rsid w:val="00B40F49"/>
    <w:rsid w:val="00BE6723"/>
    <w:rsid w:val="00C73255"/>
    <w:rsid w:val="00E726E2"/>
    <w:rsid w:val="00EB192E"/>
    <w:rsid w:val="00EC69A2"/>
    <w:rsid w:val="00ED7A71"/>
    <w:rsid w:val="00F302B0"/>
    <w:rsid w:val="00F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958C8"/>
  <w15:docId w15:val="{3EA99406-FB60-3F4D-A923-128BE95D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D7A71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ED7A71"/>
    <w:pPr>
      <w:keepNext/>
      <w:spacing w:before="120" w:after="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D7A71"/>
    <w:rPr>
      <w:rFonts w:ascii="Arial" w:eastAsia="Times New Roman" w:hAnsi="Arial" w:cs="Arial"/>
      <w:b/>
      <w:bCs/>
      <w:kern w:val="32"/>
      <w:sz w:val="28"/>
      <w:szCs w:val="28"/>
    </w:rPr>
  </w:style>
  <w:style w:type="paragraph" w:styleId="Odstavekseznama">
    <w:name w:val="List Paragraph"/>
    <w:basedOn w:val="Navaden"/>
    <w:uiPriority w:val="34"/>
    <w:qFormat/>
    <w:rsid w:val="000F47DF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45007E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/>
    </w:rPr>
  </w:style>
  <w:style w:type="character" w:customStyle="1" w:styleId="apple-converted-space">
    <w:name w:val="apple-converted-space"/>
    <w:rsid w:val="0045007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672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6723"/>
    <w:rPr>
      <w:rFonts w:ascii="Times New Roman" w:eastAsia="Calibri" w:hAnsi="Times New Roman" w:cs="Times New Roman"/>
      <w:sz w:val="18"/>
      <w:szCs w:val="18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BE672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E672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E6723"/>
    <w:rPr>
      <w:rFonts w:ascii="Calibri" w:eastAsia="Calibri" w:hAnsi="Calibri" w:cs="Times New Roman"/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E67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E6723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Revizija">
    <w:name w:val="Revision"/>
    <w:hidden/>
    <w:uiPriority w:val="99"/>
    <w:semiHidden/>
    <w:rsid w:val="005635E1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6FBDF92611D41AA23EC99DD44B538" ma:contentTypeVersion="1" ma:contentTypeDescription="Ustvari nov dokument." ma:contentTypeScope="" ma:versionID="ed0805eb95a0ae75c6b5314bdd54a24f">
  <xsd:schema xmlns:xsd="http://www.w3.org/2001/XMLSchema" xmlns:xs="http://www.w3.org/2001/XMLSchema" xmlns:p="http://schemas.microsoft.com/office/2006/metadata/properties" xmlns:ns3="http://schemas.microsoft.com/sharepoint/v4" targetNamespace="http://schemas.microsoft.com/office/2006/metadata/properties" ma:root="true" ma:fieldsID="3756dc686c3fd6f97813a35d82b9ef00" ns3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>|docx|lockoverlay.png</IconOverlay>
  </documentManagement>
</p:properties>
</file>

<file path=customXml/itemProps1.xml><?xml version="1.0" encoding="utf-8"?>
<ds:datastoreItem xmlns:ds="http://schemas.openxmlformats.org/officeDocument/2006/customXml" ds:itemID="{6E05F039-0909-47C1-A154-F2575F811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FA8B4-4D91-433D-B28D-A5EB23F6D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A51AC-B37B-483E-B9DB-B58F73B1C451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6738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Smerdelj, Nataša</dc:creator>
  <cp:keywords/>
  <dc:description/>
  <cp:lastModifiedBy>Marentič, Maja</cp:lastModifiedBy>
  <cp:revision>2</cp:revision>
  <dcterms:created xsi:type="dcterms:W3CDTF">2024-06-19T05:40:00Z</dcterms:created>
  <dcterms:modified xsi:type="dcterms:W3CDTF">2024-06-19T05:40:00Z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0x01010021E6FBDF92611D41AA23EC99DD44B538</vt:lpwstr>
  </property>
  <property fmtid="{D5CDD505-2E9C-101B-9397-08002B2CF9AE}" pid="3" name="ecm_ItemDeleteBlockHolders">
    <vt:lpwstr>ecm_InPlaceRecordLock</vt:lpwstr>
  </property>
  <property fmtid="{D5CDD505-2E9C-101B-9397-08002B2CF9AE}" pid="4" name="ecm_RecordRestrictions">
    <vt:lpwstr>BlockDelete, BlockEdit</vt:lpwstr>
  </property>
  <property fmtid="{D5CDD505-2E9C-101B-9397-08002B2CF9AE}" pid="5" name="ecm_ItemLockHolders">
    <vt:lpwstr>ecm_InPlaceRecordLock</vt:lpwstr>
  </property>
  <property fmtid="{D5CDD505-2E9C-101B-9397-08002B2CF9AE}" pid="6" name="_vti_ItemDeclaredRecord">
    <vt:filetime>2017-02-01T14:01:53Z</vt:filetime>
  </property>
  <property fmtid="{D5CDD505-2E9C-101B-9397-08002B2CF9AE}" pid="7" name="_vti_ItemHoldRecordStatus">
    <vt:i4>273</vt:i4>
  </property>
</Properties>
</file>