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7E52D4" w:rsidRPr="00827E5B" w14:paraId="1361BBAD" w14:textId="77777777" w:rsidTr="00363D23">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1BAB3D77" w14:textId="77777777" w:rsidR="007E52D4" w:rsidRPr="00827E5B" w:rsidRDefault="007E52D4" w:rsidP="009D7A57">
            <w:pPr>
              <w:jc w:val="center"/>
              <w:rPr>
                <w:rFonts w:ascii="Arial" w:hAnsi="Arial" w:cs="Arial"/>
                <w:b/>
                <w:sz w:val="22"/>
                <w:szCs w:val="22"/>
              </w:rPr>
            </w:pPr>
            <w:r w:rsidRPr="00827E5B">
              <w:rPr>
                <w:rFonts w:ascii="Arial" w:hAnsi="Arial" w:cs="Arial"/>
                <w:b/>
                <w:sz w:val="22"/>
                <w:szCs w:val="22"/>
              </w:rPr>
              <w:t>UČNI NAČRT PREDMETA / COURSE SYLLABUS</w:t>
            </w:r>
          </w:p>
        </w:tc>
      </w:tr>
      <w:tr w:rsidR="00363D23" w:rsidRPr="00827E5B" w14:paraId="34BFC71B" w14:textId="77777777" w:rsidTr="00363D23">
        <w:tc>
          <w:tcPr>
            <w:tcW w:w="1799" w:type="dxa"/>
            <w:gridSpan w:val="3"/>
          </w:tcPr>
          <w:p w14:paraId="27698D3A" w14:textId="77777777" w:rsidR="00363D23" w:rsidRPr="00827E5B" w:rsidRDefault="00363D23" w:rsidP="009D7A57">
            <w:pPr>
              <w:rPr>
                <w:rFonts w:ascii="Arial" w:hAnsi="Arial" w:cs="Arial"/>
                <w:b/>
                <w:sz w:val="22"/>
                <w:szCs w:val="22"/>
              </w:rPr>
            </w:pPr>
            <w:r w:rsidRPr="00827E5B">
              <w:rPr>
                <w:rFonts w:ascii="Arial" w:hAnsi="Arial" w:cs="Arial"/>
                <w:b/>
                <w:sz w:val="22"/>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175BB873" w14:textId="77777777" w:rsidR="00363D23" w:rsidRPr="00827E5B" w:rsidRDefault="00086CC1" w:rsidP="009D7A57">
            <w:pPr>
              <w:rPr>
                <w:rFonts w:ascii="Arial" w:hAnsi="Arial" w:cs="Arial"/>
                <w:b/>
                <w:sz w:val="22"/>
                <w:szCs w:val="22"/>
              </w:rPr>
            </w:pPr>
            <w:bookmarkStart w:id="0" w:name="Predmet"/>
            <w:bookmarkEnd w:id="0"/>
            <w:r w:rsidRPr="00827E5B">
              <w:rPr>
                <w:rFonts w:ascii="Arial" w:hAnsi="Arial" w:cs="Arial"/>
                <w:b/>
                <w:sz w:val="22"/>
                <w:szCs w:val="22"/>
              </w:rPr>
              <w:t>Finance</w:t>
            </w:r>
          </w:p>
        </w:tc>
      </w:tr>
      <w:tr w:rsidR="00363D23" w:rsidRPr="00827E5B" w14:paraId="71914776" w14:textId="77777777" w:rsidTr="00363D23">
        <w:tc>
          <w:tcPr>
            <w:tcW w:w="1799" w:type="dxa"/>
            <w:gridSpan w:val="3"/>
          </w:tcPr>
          <w:p w14:paraId="3C461A8B" w14:textId="77777777" w:rsidR="00363D23" w:rsidRPr="00827E5B" w:rsidRDefault="00363D23" w:rsidP="009D7A57">
            <w:pPr>
              <w:rPr>
                <w:rFonts w:ascii="Arial" w:hAnsi="Arial" w:cs="Arial"/>
                <w:b/>
                <w:sz w:val="22"/>
                <w:szCs w:val="22"/>
              </w:rPr>
            </w:pPr>
            <w:r w:rsidRPr="00827E5B">
              <w:rPr>
                <w:rFonts w:ascii="Arial" w:hAnsi="Arial" w:cs="Arial"/>
                <w:b/>
                <w:sz w:val="22"/>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68752820" w14:textId="77777777" w:rsidR="00363D23" w:rsidRPr="00827E5B" w:rsidRDefault="00D91581" w:rsidP="009D7A57">
            <w:pPr>
              <w:rPr>
                <w:rFonts w:ascii="Arial" w:hAnsi="Arial" w:cs="Arial"/>
                <w:sz w:val="22"/>
                <w:szCs w:val="22"/>
              </w:rPr>
            </w:pPr>
            <w:bookmarkStart w:id="1" w:name="APredmet"/>
            <w:bookmarkEnd w:id="1"/>
            <w:r w:rsidRPr="00827E5B">
              <w:rPr>
                <w:rFonts w:ascii="Arial" w:hAnsi="Arial" w:cs="Arial"/>
                <w:sz w:val="22"/>
                <w:szCs w:val="22"/>
              </w:rPr>
              <w:t>Finance</w:t>
            </w:r>
          </w:p>
        </w:tc>
      </w:tr>
      <w:tr w:rsidR="00363D23" w:rsidRPr="00827E5B" w14:paraId="5037DACD" w14:textId="77777777" w:rsidTr="00363D23">
        <w:tc>
          <w:tcPr>
            <w:tcW w:w="3307" w:type="dxa"/>
            <w:gridSpan w:val="5"/>
            <w:vAlign w:val="center"/>
          </w:tcPr>
          <w:p w14:paraId="6D6F7306" w14:textId="77777777" w:rsidR="00363D23" w:rsidRPr="00827E5B" w:rsidRDefault="00363D23" w:rsidP="009D7A57">
            <w:pPr>
              <w:jc w:val="center"/>
              <w:rPr>
                <w:rFonts w:ascii="Arial" w:hAnsi="Arial" w:cs="Arial"/>
                <w:b/>
                <w:sz w:val="22"/>
                <w:szCs w:val="22"/>
              </w:rPr>
            </w:pPr>
          </w:p>
        </w:tc>
        <w:tc>
          <w:tcPr>
            <w:tcW w:w="3401" w:type="dxa"/>
            <w:gridSpan w:val="8"/>
            <w:vAlign w:val="center"/>
          </w:tcPr>
          <w:p w14:paraId="679CA271" w14:textId="77777777" w:rsidR="00363D23" w:rsidRPr="00827E5B" w:rsidRDefault="00363D23" w:rsidP="009D7A57">
            <w:pPr>
              <w:jc w:val="center"/>
              <w:rPr>
                <w:rFonts w:ascii="Arial" w:hAnsi="Arial" w:cs="Arial"/>
                <w:b/>
                <w:sz w:val="22"/>
                <w:szCs w:val="22"/>
              </w:rPr>
            </w:pPr>
          </w:p>
        </w:tc>
        <w:tc>
          <w:tcPr>
            <w:tcW w:w="1558" w:type="dxa"/>
            <w:gridSpan w:val="2"/>
            <w:vAlign w:val="center"/>
          </w:tcPr>
          <w:p w14:paraId="7F10AD3A" w14:textId="77777777" w:rsidR="00363D23" w:rsidRPr="00827E5B" w:rsidRDefault="00363D23" w:rsidP="009D7A57">
            <w:pPr>
              <w:jc w:val="center"/>
              <w:rPr>
                <w:rFonts w:ascii="Arial" w:hAnsi="Arial" w:cs="Arial"/>
                <w:b/>
                <w:sz w:val="22"/>
                <w:szCs w:val="22"/>
              </w:rPr>
            </w:pPr>
          </w:p>
        </w:tc>
        <w:tc>
          <w:tcPr>
            <w:tcW w:w="1424" w:type="dxa"/>
            <w:gridSpan w:val="3"/>
            <w:vAlign w:val="center"/>
          </w:tcPr>
          <w:p w14:paraId="3DD284A7" w14:textId="77777777" w:rsidR="00363D23" w:rsidRPr="00827E5B" w:rsidRDefault="00363D23" w:rsidP="009D7A57">
            <w:pPr>
              <w:jc w:val="center"/>
              <w:rPr>
                <w:rFonts w:ascii="Arial" w:hAnsi="Arial" w:cs="Arial"/>
                <w:b/>
                <w:sz w:val="22"/>
                <w:szCs w:val="22"/>
              </w:rPr>
            </w:pPr>
          </w:p>
        </w:tc>
      </w:tr>
      <w:tr w:rsidR="00363D23" w:rsidRPr="00827E5B" w14:paraId="38C36016" w14:textId="77777777" w:rsidTr="00363D23">
        <w:tc>
          <w:tcPr>
            <w:tcW w:w="3307" w:type="dxa"/>
            <w:gridSpan w:val="5"/>
            <w:tcBorders>
              <w:top w:val="nil"/>
              <w:left w:val="nil"/>
              <w:bottom w:val="single" w:sz="4" w:space="0" w:color="auto"/>
              <w:right w:val="nil"/>
            </w:tcBorders>
            <w:vAlign w:val="center"/>
          </w:tcPr>
          <w:p w14:paraId="09D1C60A"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Študijski program in stopnja</w:t>
            </w:r>
          </w:p>
          <w:p w14:paraId="4FA71FC2" w14:textId="77777777" w:rsidR="00363D23" w:rsidRPr="00827E5B" w:rsidRDefault="00363D23" w:rsidP="009D7A57">
            <w:pPr>
              <w:jc w:val="center"/>
              <w:rPr>
                <w:rFonts w:ascii="Arial" w:hAnsi="Arial" w:cs="Arial"/>
                <w:sz w:val="22"/>
                <w:szCs w:val="22"/>
              </w:rPr>
            </w:pPr>
            <w:r w:rsidRPr="00827E5B">
              <w:rPr>
                <w:rFonts w:ascii="Arial" w:hAnsi="Arial" w:cs="Arial"/>
                <w:b/>
                <w:sz w:val="22"/>
                <w:szCs w:val="22"/>
              </w:rPr>
              <w:t>Study programme and level</w:t>
            </w:r>
          </w:p>
        </w:tc>
        <w:tc>
          <w:tcPr>
            <w:tcW w:w="3401" w:type="dxa"/>
            <w:gridSpan w:val="8"/>
            <w:tcBorders>
              <w:top w:val="nil"/>
              <w:left w:val="nil"/>
              <w:bottom w:val="single" w:sz="4" w:space="0" w:color="auto"/>
              <w:right w:val="nil"/>
            </w:tcBorders>
            <w:vAlign w:val="center"/>
          </w:tcPr>
          <w:p w14:paraId="597A432C"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Študijska smer</w:t>
            </w:r>
          </w:p>
          <w:p w14:paraId="426FC5D4"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Study field</w:t>
            </w:r>
          </w:p>
        </w:tc>
        <w:tc>
          <w:tcPr>
            <w:tcW w:w="1558" w:type="dxa"/>
            <w:gridSpan w:val="2"/>
            <w:tcBorders>
              <w:top w:val="nil"/>
              <w:left w:val="nil"/>
              <w:bottom w:val="single" w:sz="4" w:space="0" w:color="auto"/>
              <w:right w:val="nil"/>
            </w:tcBorders>
            <w:vAlign w:val="center"/>
          </w:tcPr>
          <w:p w14:paraId="55051D7F"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Letnik</w:t>
            </w:r>
          </w:p>
          <w:p w14:paraId="404975EA"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Academic year</w:t>
            </w:r>
          </w:p>
        </w:tc>
        <w:tc>
          <w:tcPr>
            <w:tcW w:w="1424" w:type="dxa"/>
            <w:gridSpan w:val="3"/>
            <w:tcBorders>
              <w:top w:val="nil"/>
              <w:left w:val="nil"/>
              <w:bottom w:val="single" w:sz="4" w:space="0" w:color="auto"/>
              <w:right w:val="nil"/>
            </w:tcBorders>
            <w:vAlign w:val="center"/>
          </w:tcPr>
          <w:p w14:paraId="5D3D779C"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Semester</w:t>
            </w:r>
          </w:p>
          <w:p w14:paraId="1A228134" w14:textId="77777777" w:rsidR="00363D23" w:rsidRPr="00827E5B" w:rsidRDefault="00363D23" w:rsidP="009D7A57">
            <w:pPr>
              <w:jc w:val="center"/>
              <w:rPr>
                <w:rFonts w:ascii="Arial" w:hAnsi="Arial" w:cs="Arial"/>
                <w:b/>
                <w:sz w:val="22"/>
                <w:szCs w:val="22"/>
              </w:rPr>
            </w:pPr>
            <w:r w:rsidRPr="00827E5B">
              <w:rPr>
                <w:rFonts w:ascii="Arial" w:hAnsi="Arial" w:cs="Arial"/>
                <w:b/>
                <w:sz w:val="22"/>
                <w:szCs w:val="22"/>
              </w:rPr>
              <w:t>Semester</w:t>
            </w:r>
          </w:p>
        </w:tc>
      </w:tr>
      <w:tr w:rsidR="00D91581" w:rsidRPr="00827E5B" w14:paraId="2A5F0A23" w14:textId="77777777" w:rsidTr="00363D23">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3A4A0EAC" w14:textId="77777777" w:rsidR="00D91581" w:rsidRPr="00827E5B" w:rsidRDefault="00D91581" w:rsidP="00B04043">
            <w:pPr>
              <w:rPr>
                <w:rFonts w:ascii="Arial" w:hAnsi="Arial" w:cs="Arial"/>
                <w:bCs/>
                <w:sz w:val="22"/>
                <w:szCs w:val="22"/>
              </w:rPr>
            </w:pPr>
            <w:r w:rsidRPr="00827E5B">
              <w:rPr>
                <w:rFonts w:ascii="Arial" w:hAnsi="Arial" w:cs="Arial"/>
                <w:bCs/>
                <w:sz w:val="22"/>
                <w:szCs w:val="22"/>
              </w:rPr>
              <w:t>Enoviti magistrski študijski program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4621BECA" w14:textId="77777777" w:rsidR="00D91581" w:rsidRPr="00827E5B" w:rsidRDefault="00D91581" w:rsidP="009D7A57">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7A13137" w14:textId="6BDDF946" w:rsidR="00D91581" w:rsidRPr="00827E5B" w:rsidRDefault="007A7623" w:rsidP="00086CC1">
            <w:pPr>
              <w:jc w:val="center"/>
              <w:rPr>
                <w:rFonts w:ascii="Arial" w:hAnsi="Arial" w:cs="Arial"/>
                <w:b/>
                <w:bCs/>
                <w:sz w:val="22"/>
                <w:szCs w:val="22"/>
              </w:rPr>
            </w:pPr>
            <w:r w:rsidRPr="00827E5B">
              <w:rPr>
                <w:rFonts w:ascii="Arial" w:hAnsi="Arial" w:cs="Arial"/>
                <w:b/>
                <w:sz w:val="22"/>
                <w:szCs w:val="22"/>
              </w:rPr>
              <w:t>2</w:t>
            </w:r>
            <w:r w:rsidR="00B42EA4" w:rsidRPr="00827E5B">
              <w:rPr>
                <w:rFonts w:ascii="Arial" w:hAnsi="Arial" w:cs="Arial"/>
                <w:b/>
                <w:sz w:val="22"/>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1DE9B8B0" w14:textId="5C69A388" w:rsidR="00D91581" w:rsidRPr="00827E5B" w:rsidRDefault="00DC685E" w:rsidP="00086CC1">
            <w:pPr>
              <w:jc w:val="center"/>
              <w:rPr>
                <w:rFonts w:ascii="Arial" w:hAnsi="Arial" w:cs="Arial"/>
                <w:b/>
                <w:bCs/>
                <w:sz w:val="22"/>
                <w:szCs w:val="22"/>
              </w:rPr>
            </w:pPr>
            <w:r>
              <w:rPr>
                <w:rFonts w:ascii="Arial" w:hAnsi="Arial" w:cs="Arial"/>
                <w:b/>
                <w:sz w:val="22"/>
                <w:szCs w:val="22"/>
              </w:rPr>
              <w:t>4</w:t>
            </w:r>
            <w:r w:rsidR="00B42EA4" w:rsidRPr="00827E5B">
              <w:rPr>
                <w:rFonts w:ascii="Arial" w:hAnsi="Arial" w:cs="Arial"/>
                <w:b/>
                <w:sz w:val="22"/>
                <w:szCs w:val="22"/>
              </w:rPr>
              <w:t>.</w:t>
            </w:r>
          </w:p>
        </w:tc>
      </w:tr>
      <w:tr w:rsidR="00D91581" w:rsidRPr="00827E5B" w14:paraId="2BF0F148" w14:textId="77777777" w:rsidTr="00363D23">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B149E29" w14:textId="77777777" w:rsidR="00D91581" w:rsidRPr="00827E5B" w:rsidRDefault="00D91581" w:rsidP="00D91581">
            <w:pPr>
              <w:rPr>
                <w:rFonts w:ascii="Arial" w:hAnsi="Arial" w:cs="Arial"/>
                <w:b/>
                <w:bCs/>
                <w:sz w:val="22"/>
                <w:szCs w:val="22"/>
                <w:lang w:val="en-US"/>
              </w:rPr>
            </w:pPr>
            <w:r w:rsidRPr="00827E5B">
              <w:rPr>
                <w:rFonts w:ascii="Arial" w:hAnsi="Arial" w:cs="Arial"/>
                <w:bCs/>
                <w:sz w:val="22"/>
                <w:szCs w:val="22"/>
                <w:lang w:val="en-US"/>
              </w:rPr>
              <w:t>I</w:t>
            </w:r>
            <w:r w:rsidR="00644F57" w:rsidRPr="00827E5B">
              <w:rPr>
                <w:rFonts w:ascii="Arial" w:hAnsi="Arial" w:cs="Arial"/>
                <w:bCs/>
                <w:sz w:val="22"/>
                <w:szCs w:val="22"/>
                <w:lang w:val="en-US"/>
              </w:rPr>
              <w:t>ntegrated master study program</w:t>
            </w:r>
            <w:r w:rsidRPr="00827E5B">
              <w:rPr>
                <w:rFonts w:ascii="Arial" w:hAnsi="Arial" w:cs="Arial"/>
                <w:bCs/>
                <w:sz w:val="22"/>
                <w:szCs w:val="22"/>
                <w:lang w:val="en-US"/>
              </w:rPr>
              <w:t xml:space="preserve"> Law</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01043C47" w14:textId="77777777" w:rsidR="00D91581" w:rsidRPr="00827E5B" w:rsidRDefault="00D91581" w:rsidP="009D7A57">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A8917CF" w14:textId="14DCE368" w:rsidR="00D91581" w:rsidRPr="00827E5B" w:rsidRDefault="004F10E1" w:rsidP="009D7A57">
            <w:pPr>
              <w:jc w:val="center"/>
              <w:rPr>
                <w:rFonts w:ascii="Arial" w:hAnsi="Arial" w:cs="Arial"/>
                <w:b/>
                <w:bCs/>
                <w:sz w:val="22"/>
                <w:szCs w:val="22"/>
              </w:rPr>
            </w:pPr>
            <w:r w:rsidRPr="00827E5B">
              <w:rPr>
                <w:rFonts w:ascii="Arial" w:hAnsi="Arial" w:cs="Arial"/>
                <w:b/>
                <w:bCs/>
                <w:sz w:val="22"/>
                <w:szCs w:val="22"/>
              </w:rPr>
              <w:t>2</w:t>
            </w:r>
            <w:r w:rsidR="00DD3981" w:rsidRPr="00827E5B">
              <w:rPr>
                <w:rFonts w:ascii="Arial" w:hAnsi="Arial" w:cs="Arial"/>
                <w:b/>
                <w:bCs/>
                <w:sz w:val="22"/>
                <w:szCs w:val="22"/>
              </w:rPr>
              <w:t xml:space="preserve">nd </w:t>
            </w:r>
            <w:r w:rsidRPr="00827E5B">
              <w:rPr>
                <w:rFonts w:ascii="Arial" w:hAnsi="Arial" w:cs="Arial"/>
                <w:b/>
                <w:bCs/>
                <w:sz w:val="22"/>
                <w:szCs w:val="22"/>
              </w:rPr>
              <w:t xml:space="preserve"> </w:t>
            </w:r>
            <w:r w:rsidR="007A7623" w:rsidRPr="00827E5B">
              <w:rPr>
                <w:rFonts w:ascii="Arial" w:hAnsi="Arial" w:cs="Arial"/>
                <w:b/>
                <w:bCs/>
                <w:sz w:val="22"/>
                <w:szCs w:val="22"/>
              </w:rPr>
              <w:t xml:space="preserve"> </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18631387" w14:textId="0F607EFC" w:rsidR="00D91581" w:rsidRPr="00827E5B" w:rsidRDefault="00DC685E" w:rsidP="009D7A57">
            <w:pPr>
              <w:jc w:val="center"/>
              <w:rPr>
                <w:rFonts w:ascii="Arial" w:hAnsi="Arial" w:cs="Arial"/>
                <w:b/>
                <w:bCs/>
                <w:sz w:val="22"/>
                <w:szCs w:val="22"/>
              </w:rPr>
            </w:pPr>
            <w:r>
              <w:rPr>
                <w:rFonts w:ascii="Arial" w:hAnsi="Arial" w:cs="Arial"/>
                <w:b/>
                <w:bCs/>
                <w:sz w:val="22"/>
                <w:szCs w:val="22"/>
              </w:rPr>
              <w:t>4</w:t>
            </w:r>
            <w:r w:rsidR="00DD3981" w:rsidRPr="00827E5B">
              <w:rPr>
                <w:rFonts w:ascii="Arial" w:hAnsi="Arial" w:cs="Arial"/>
                <w:b/>
                <w:bCs/>
                <w:sz w:val="22"/>
                <w:szCs w:val="22"/>
              </w:rPr>
              <w:t>th</w:t>
            </w:r>
            <w:r w:rsidR="007A7623" w:rsidRPr="00827E5B">
              <w:rPr>
                <w:rFonts w:ascii="Arial" w:hAnsi="Arial" w:cs="Arial"/>
                <w:b/>
                <w:bCs/>
                <w:sz w:val="22"/>
                <w:szCs w:val="22"/>
              </w:rPr>
              <w:t xml:space="preserve"> </w:t>
            </w:r>
          </w:p>
        </w:tc>
      </w:tr>
      <w:tr w:rsidR="00D91581" w:rsidRPr="00827E5B" w14:paraId="23B2A3CB" w14:textId="77777777" w:rsidTr="00363D23">
        <w:trPr>
          <w:trHeight w:val="103"/>
        </w:trPr>
        <w:tc>
          <w:tcPr>
            <w:tcW w:w="9690" w:type="dxa"/>
            <w:gridSpan w:val="18"/>
          </w:tcPr>
          <w:p w14:paraId="55652112" w14:textId="77777777" w:rsidR="00D91581" w:rsidRPr="00827E5B" w:rsidRDefault="00D91581" w:rsidP="009D7A57">
            <w:pPr>
              <w:rPr>
                <w:rFonts w:ascii="Arial" w:hAnsi="Arial" w:cs="Arial"/>
                <w:b/>
                <w:bCs/>
                <w:sz w:val="22"/>
                <w:szCs w:val="22"/>
              </w:rPr>
            </w:pPr>
          </w:p>
        </w:tc>
      </w:tr>
      <w:tr w:rsidR="00D91581" w:rsidRPr="00827E5B" w14:paraId="5E61ED06" w14:textId="77777777" w:rsidTr="00363D23">
        <w:tc>
          <w:tcPr>
            <w:tcW w:w="5718" w:type="dxa"/>
            <w:gridSpan w:val="12"/>
            <w:tcBorders>
              <w:top w:val="nil"/>
              <w:left w:val="nil"/>
              <w:bottom w:val="nil"/>
              <w:right w:val="single" w:sz="4" w:space="0" w:color="auto"/>
            </w:tcBorders>
          </w:tcPr>
          <w:p w14:paraId="1742624A" w14:textId="77777777" w:rsidR="00D91581" w:rsidRPr="00827E5B" w:rsidRDefault="00D91581" w:rsidP="009D7A57">
            <w:pPr>
              <w:rPr>
                <w:rFonts w:ascii="Arial" w:hAnsi="Arial" w:cs="Arial"/>
                <w:b/>
                <w:sz w:val="22"/>
                <w:szCs w:val="22"/>
              </w:rPr>
            </w:pPr>
            <w:r w:rsidRPr="00827E5B">
              <w:rPr>
                <w:rFonts w:ascii="Arial" w:hAnsi="Arial" w:cs="Arial"/>
                <w:b/>
                <w:sz w:val="22"/>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14:paraId="68C1658E" w14:textId="0A11F301" w:rsidR="00D91581" w:rsidRPr="00827E5B" w:rsidRDefault="00445ECB" w:rsidP="009D7A57">
            <w:pPr>
              <w:rPr>
                <w:rFonts w:ascii="Arial" w:hAnsi="Arial" w:cs="Arial"/>
                <w:sz w:val="22"/>
                <w:szCs w:val="22"/>
              </w:rPr>
            </w:pPr>
            <w:r w:rsidRPr="00827E5B">
              <w:rPr>
                <w:rFonts w:ascii="Arial" w:hAnsi="Arial" w:cs="Arial"/>
                <w:b/>
                <w:sz w:val="22"/>
                <w:szCs w:val="22"/>
              </w:rPr>
              <w:t>Obvezni/</w:t>
            </w:r>
            <w:r w:rsidR="00B42EA4" w:rsidRPr="00827E5B">
              <w:rPr>
                <w:rFonts w:ascii="Arial" w:hAnsi="Arial" w:cs="Arial"/>
                <w:b/>
                <w:sz w:val="22"/>
                <w:szCs w:val="22"/>
              </w:rPr>
              <w:t>Obligatory</w:t>
            </w:r>
          </w:p>
        </w:tc>
      </w:tr>
      <w:tr w:rsidR="00D91581" w:rsidRPr="00827E5B" w14:paraId="3925B7B6" w14:textId="77777777" w:rsidTr="00363D23">
        <w:tc>
          <w:tcPr>
            <w:tcW w:w="5718" w:type="dxa"/>
            <w:gridSpan w:val="12"/>
          </w:tcPr>
          <w:p w14:paraId="6DCEE35B" w14:textId="77777777" w:rsidR="00D91581" w:rsidRPr="00827E5B" w:rsidRDefault="00D91581" w:rsidP="009D7A57">
            <w:pPr>
              <w:rPr>
                <w:rFonts w:ascii="Arial" w:hAnsi="Arial" w:cs="Arial"/>
                <w:b/>
                <w:sz w:val="22"/>
                <w:szCs w:val="22"/>
              </w:rPr>
            </w:pPr>
          </w:p>
        </w:tc>
        <w:tc>
          <w:tcPr>
            <w:tcW w:w="3972" w:type="dxa"/>
            <w:gridSpan w:val="6"/>
            <w:tcBorders>
              <w:top w:val="single" w:sz="4" w:space="0" w:color="auto"/>
              <w:left w:val="nil"/>
              <w:bottom w:val="single" w:sz="4" w:space="0" w:color="auto"/>
              <w:right w:val="nil"/>
            </w:tcBorders>
          </w:tcPr>
          <w:p w14:paraId="34F514A4" w14:textId="77777777" w:rsidR="00D91581" w:rsidRPr="00827E5B" w:rsidRDefault="00D91581" w:rsidP="009D7A57">
            <w:pPr>
              <w:rPr>
                <w:rFonts w:ascii="Arial" w:hAnsi="Arial" w:cs="Arial"/>
                <w:sz w:val="22"/>
                <w:szCs w:val="22"/>
              </w:rPr>
            </w:pPr>
          </w:p>
        </w:tc>
      </w:tr>
      <w:tr w:rsidR="00D91581" w:rsidRPr="00827E5B" w14:paraId="3AC09BCC" w14:textId="77777777" w:rsidTr="00363D23">
        <w:tc>
          <w:tcPr>
            <w:tcW w:w="5718" w:type="dxa"/>
            <w:gridSpan w:val="12"/>
            <w:tcBorders>
              <w:top w:val="nil"/>
              <w:left w:val="nil"/>
              <w:bottom w:val="nil"/>
              <w:right w:val="single" w:sz="4" w:space="0" w:color="auto"/>
            </w:tcBorders>
          </w:tcPr>
          <w:p w14:paraId="77059CAD" w14:textId="77777777" w:rsidR="00D91581" w:rsidRPr="00827E5B" w:rsidRDefault="00D91581" w:rsidP="009D7A57">
            <w:pPr>
              <w:rPr>
                <w:rFonts w:ascii="Arial" w:hAnsi="Arial" w:cs="Arial"/>
                <w:b/>
                <w:sz w:val="22"/>
                <w:szCs w:val="22"/>
              </w:rPr>
            </w:pPr>
            <w:r w:rsidRPr="00827E5B">
              <w:rPr>
                <w:rFonts w:ascii="Arial" w:hAnsi="Arial" w:cs="Arial"/>
                <w:b/>
                <w:sz w:val="22"/>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14:paraId="2D5897B4" w14:textId="77777777" w:rsidR="00D91581" w:rsidRPr="00827E5B" w:rsidRDefault="00D91581" w:rsidP="009D7A57">
            <w:pPr>
              <w:rPr>
                <w:rFonts w:ascii="Arial" w:hAnsi="Arial" w:cs="Arial"/>
                <w:sz w:val="22"/>
                <w:szCs w:val="22"/>
              </w:rPr>
            </w:pPr>
          </w:p>
        </w:tc>
      </w:tr>
      <w:tr w:rsidR="00D91581" w:rsidRPr="00827E5B" w14:paraId="651A2718" w14:textId="77777777" w:rsidTr="00363D23">
        <w:tc>
          <w:tcPr>
            <w:tcW w:w="9690" w:type="dxa"/>
            <w:gridSpan w:val="18"/>
          </w:tcPr>
          <w:p w14:paraId="0A25BEEC" w14:textId="77777777" w:rsidR="00D91581" w:rsidRPr="00827E5B" w:rsidRDefault="00D91581" w:rsidP="009D7A57">
            <w:pPr>
              <w:rPr>
                <w:rFonts w:ascii="Arial" w:hAnsi="Arial" w:cs="Arial"/>
                <w:sz w:val="22"/>
                <w:szCs w:val="22"/>
              </w:rPr>
            </w:pPr>
          </w:p>
        </w:tc>
      </w:tr>
      <w:tr w:rsidR="00D91581" w:rsidRPr="00827E5B" w14:paraId="3C51E723" w14:textId="77777777" w:rsidTr="00363D23">
        <w:tc>
          <w:tcPr>
            <w:tcW w:w="1410" w:type="dxa"/>
            <w:tcBorders>
              <w:top w:val="nil"/>
              <w:left w:val="nil"/>
              <w:bottom w:val="single" w:sz="4" w:space="0" w:color="auto"/>
              <w:right w:val="nil"/>
            </w:tcBorders>
            <w:vAlign w:val="center"/>
          </w:tcPr>
          <w:p w14:paraId="375AA8DF"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Predavanja</w:t>
            </w:r>
          </w:p>
          <w:p w14:paraId="2C0D5518" w14:textId="77777777" w:rsidR="00D91581" w:rsidRPr="00827E5B" w:rsidRDefault="00D91581" w:rsidP="009D7A57">
            <w:pPr>
              <w:jc w:val="center"/>
              <w:rPr>
                <w:rFonts w:ascii="Arial" w:hAnsi="Arial" w:cs="Arial"/>
                <w:sz w:val="22"/>
                <w:szCs w:val="22"/>
              </w:rPr>
            </w:pPr>
            <w:r w:rsidRPr="00827E5B">
              <w:rPr>
                <w:rFonts w:ascii="Arial" w:hAnsi="Arial" w:cs="Arial"/>
                <w:b/>
                <w:sz w:val="22"/>
                <w:szCs w:val="22"/>
              </w:rPr>
              <w:t>Lectures</w:t>
            </w:r>
          </w:p>
        </w:tc>
        <w:tc>
          <w:tcPr>
            <w:tcW w:w="1410" w:type="dxa"/>
            <w:gridSpan w:val="3"/>
            <w:tcBorders>
              <w:top w:val="nil"/>
              <w:left w:val="nil"/>
              <w:bottom w:val="single" w:sz="4" w:space="0" w:color="auto"/>
              <w:right w:val="nil"/>
            </w:tcBorders>
            <w:vAlign w:val="center"/>
          </w:tcPr>
          <w:p w14:paraId="16864AA5"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Seminar</w:t>
            </w:r>
          </w:p>
          <w:p w14:paraId="38EA5603"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Seminar</w:t>
            </w:r>
          </w:p>
        </w:tc>
        <w:tc>
          <w:tcPr>
            <w:tcW w:w="1418" w:type="dxa"/>
            <w:gridSpan w:val="3"/>
            <w:tcBorders>
              <w:top w:val="nil"/>
              <w:left w:val="nil"/>
              <w:bottom w:val="single" w:sz="4" w:space="0" w:color="auto"/>
              <w:right w:val="nil"/>
            </w:tcBorders>
            <w:vAlign w:val="center"/>
          </w:tcPr>
          <w:p w14:paraId="10F2822A"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Vaje</w:t>
            </w:r>
          </w:p>
          <w:p w14:paraId="42784D44"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Tutorial</w:t>
            </w:r>
          </w:p>
        </w:tc>
        <w:tc>
          <w:tcPr>
            <w:tcW w:w="1418" w:type="dxa"/>
            <w:gridSpan w:val="4"/>
            <w:tcBorders>
              <w:top w:val="nil"/>
              <w:left w:val="nil"/>
              <w:bottom w:val="single" w:sz="4" w:space="0" w:color="auto"/>
              <w:right w:val="nil"/>
            </w:tcBorders>
            <w:vAlign w:val="center"/>
          </w:tcPr>
          <w:p w14:paraId="1C38F289"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Klinične vaje</w:t>
            </w:r>
          </w:p>
          <w:p w14:paraId="4FBD3A86"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work</w:t>
            </w:r>
          </w:p>
        </w:tc>
        <w:tc>
          <w:tcPr>
            <w:tcW w:w="1417" w:type="dxa"/>
            <w:gridSpan w:val="3"/>
            <w:tcBorders>
              <w:top w:val="nil"/>
              <w:left w:val="nil"/>
              <w:bottom w:val="single" w:sz="4" w:space="0" w:color="auto"/>
              <w:right w:val="nil"/>
            </w:tcBorders>
            <w:vAlign w:val="center"/>
          </w:tcPr>
          <w:p w14:paraId="297B0ED5"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Druge oblike študija</w:t>
            </w:r>
          </w:p>
        </w:tc>
        <w:tc>
          <w:tcPr>
            <w:tcW w:w="1417" w:type="dxa"/>
            <w:gridSpan w:val="2"/>
            <w:tcBorders>
              <w:top w:val="nil"/>
              <w:left w:val="nil"/>
              <w:bottom w:val="single" w:sz="4" w:space="0" w:color="auto"/>
              <w:right w:val="nil"/>
            </w:tcBorders>
            <w:vAlign w:val="center"/>
          </w:tcPr>
          <w:p w14:paraId="70F4C749"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Samost. delo</w:t>
            </w:r>
          </w:p>
          <w:p w14:paraId="798E276A"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Individ. work</w:t>
            </w:r>
          </w:p>
        </w:tc>
        <w:tc>
          <w:tcPr>
            <w:tcW w:w="132" w:type="dxa"/>
            <w:vAlign w:val="center"/>
          </w:tcPr>
          <w:p w14:paraId="5D8AFCED" w14:textId="77777777" w:rsidR="00D91581" w:rsidRPr="00827E5B" w:rsidRDefault="00D91581" w:rsidP="009D7A57">
            <w:pPr>
              <w:jc w:val="center"/>
              <w:rPr>
                <w:rFonts w:ascii="Arial" w:hAnsi="Arial" w:cs="Arial"/>
                <w:b/>
                <w:bCs/>
                <w:sz w:val="22"/>
                <w:szCs w:val="22"/>
              </w:rPr>
            </w:pPr>
          </w:p>
        </w:tc>
        <w:tc>
          <w:tcPr>
            <w:tcW w:w="1068" w:type="dxa"/>
            <w:tcBorders>
              <w:top w:val="nil"/>
              <w:left w:val="nil"/>
              <w:bottom w:val="single" w:sz="4" w:space="0" w:color="auto"/>
              <w:right w:val="nil"/>
            </w:tcBorders>
            <w:vAlign w:val="center"/>
          </w:tcPr>
          <w:p w14:paraId="3815EDD5" w14:textId="77777777" w:rsidR="00D91581" w:rsidRPr="00827E5B" w:rsidRDefault="00D91581" w:rsidP="009D7A57">
            <w:pPr>
              <w:jc w:val="center"/>
              <w:rPr>
                <w:rFonts w:ascii="Arial" w:hAnsi="Arial" w:cs="Arial"/>
                <w:b/>
                <w:sz w:val="22"/>
                <w:szCs w:val="22"/>
              </w:rPr>
            </w:pPr>
            <w:r w:rsidRPr="00827E5B">
              <w:rPr>
                <w:rFonts w:ascii="Arial" w:hAnsi="Arial" w:cs="Arial"/>
                <w:b/>
                <w:sz w:val="22"/>
                <w:szCs w:val="22"/>
              </w:rPr>
              <w:t>ECTS</w:t>
            </w:r>
          </w:p>
        </w:tc>
      </w:tr>
      <w:tr w:rsidR="00D91581" w:rsidRPr="00827E5B" w14:paraId="179D2299" w14:textId="77777777" w:rsidTr="00363D23">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2D1CECA1" w14:textId="09B850C1" w:rsidR="00D91581" w:rsidRPr="00827E5B" w:rsidRDefault="007E68AF" w:rsidP="009D7A57">
            <w:pPr>
              <w:jc w:val="center"/>
              <w:rPr>
                <w:rFonts w:ascii="Arial" w:hAnsi="Arial" w:cs="Arial"/>
                <w:bCs/>
                <w:sz w:val="22"/>
                <w:szCs w:val="22"/>
              </w:rPr>
            </w:pPr>
            <w:r>
              <w:rPr>
                <w:rFonts w:ascii="Arial" w:hAnsi="Arial" w:cs="Arial"/>
                <w:bCs/>
                <w:sz w:val="22"/>
                <w:szCs w:val="22"/>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49AE97D5" w14:textId="77777777" w:rsidR="00D91581" w:rsidRPr="00827E5B" w:rsidRDefault="00D91581" w:rsidP="009D7A57">
            <w:pPr>
              <w:jc w:val="center"/>
              <w:rPr>
                <w:rFonts w:ascii="Arial" w:hAnsi="Arial" w:cs="Arial"/>
                <w:bCs/>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A039AD3" w14:textId="0AA0512C" w:rsidR="00D91581" w:rsidRPr="00827E5B" w:rsidRDefault="007E68AF" w:rsidP="009D7A57">
            <w:pPr>
              <w:jc w:val="center"/>
              <w:rPr>
                <w:rFonts w:ascii="Arial" w:hAnsi="Arial" w:cs="Arial"/>
                <w:bCs/>
                <w:sz w:val="22"/>
                <w:szCs w:val="22"/>
              </w:rPr>
            </w:pPr>
            <w:r>
              <w:rPr>
                <w:rFonts w:ascii="Arial" w:hAnsi="Arial" w:cs="Arial"/>
                <w:bCs/>
                <w:sz w:val="22"/>
                <w:szCs w:val="22"/>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7575F55" w14:textId="77777777" w:rsidR="00D91581" w:rsidRPr="00827E5B" w:rsidRDefault="00D91581" w:rsidP="009D7A57">
            <w:pPr>
              <w:jc w:val="center"/>
              <w:rPr>
                <w:rFonts w:ascii="Arial" w:hAnsi="Arial" w:cs="Arial"/>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DF0E8B7" w14:textId="77777777" w:rsidR="00D91581" w:rsidRPr="00827E5B" w:rsidRDefault="00D91581" w:rsidP="009D7A57">
            <w:pPr>
              <w:jc w:val="center"/>
              <w:rPr>
                <w:rFonts w:ascii="Arial" w:hAnsi="Arial" w:cs="Arial"/>
                <w:bCs/>
                <w:sz w:val="22"/>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E1C8E18" w14:textId="77777777" w:rsidR="00D91581" w:rsidRPr="00827E5B" w:rsidRDefault="00D91581" w:rsidP="009D7A57">
            <w:pPr>
              <w:jc w:val="center"/>
              <w:rPr>
                <w:rFonts w:ascii="Arial" w:hAnsi="Arial" w:cs="Arial"/>
                <w:bCs/>
                <w:sz w:val="22"/>
                <w:szCs w:val="22"/>
              </w:rPr>
            </w:pPr>
            <w:r w:rsidRPr="00827E5B">
              <w:rPr>
                <w:rFonts w:ascii="Arial" w:hAnsi="Arial" w:cs="Arial"/>
                <w:bCs/>
                <w:sz w:val="22"/>
                <w:szCs w:val="22"/>
              </w:rPr>
              <w:t>90</w:t>
            </w:r>
          </w:p>
        </w:tc>
        <w:tc>
          <w:tcPr>
            <w:tcW w:w="132" w:type="dxa"/>
            <w:tcBorders>
              <w:top w:val="nil"/>
              <w:left w:val="single" w:sz="4" w:space="0" w:color="auto"/>
              <w:bottom w:val="nil"/>
              <w:right w:val="single" w:sz="4" w:space="0" w:color="auto"/>
            </w:tcBorders>
            <w:vAlign w:val="center"/>
          </w:tcPr>
          <w:p w14:paraId="088411DA" w14:textId="77777777" w:rsidR="00D91581" w:rsidRPr="00827E5B" w:rsidRDefault="00D91581" w:rsidP="009D7A57">
            <w:pPr>
              <w:jc w:val="center"/>
              <w:rPr>
                <w:rFonts w:ascii="Arial" w:hAnsi="Arial" w:cs="Arial"/>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14:paraId="4DAD9796" w14:textId="77777777" w:rsidR="00D91581" w:rsidRPr="00827E5B" w:rsidRDefault="00D91581" w:rsidP="009D7A57">
            <w:pPr>
              <w:jc w:val="center"/>
              <w:rPr>
                <w:rFonts w:ascii="Arial" w:hAnsi="Arial" w:cs="Arial"/>
                <w:bCs/>
                <w:sz w:val="22"/>
                <w:szCs w:val="22"/>
              </w:rPr>
            </w:pPr>
            <w:r w:rsidRPr="00827E5B">
              <w:rPr>
                <w:rFonts w:ascii="Arial" w:hAnsi="Arial" w:cs="Arial"/>
                <w:bCs/>
                <w:sz w:val="22"/>
                <w:szCs w:val="22"/>
              </w:rPr>
              <w:t>6</w:t>
            </w:r>
          </w:p>
        </w:tc>
      </w:tr>
      <w:tr w:rsidR="00D91581" w:rsidRPr="00827E5B" w14:paraId="2AD92633" w14:textId="77777777" w:rsidTr="00363D23">
        <w:tc>
          <w:tcPr>
            <w:tcW w:w="9690" w:type="dxa"/>
            <w:gridSpan w:val="18"/>
          </w:tcPr>
          <w:p w14:paraId="0244F78A" w14:textId="77777777" w:rsidR="00D91581" w:rsidRPr="00827E5B" w:rsidRDefault="00D91581" w:rsidP="009D7A57">
            <w:pPr>
              <w:rPr>
                <w:rFonts w:ascii="Arial" w:hAnsi="Arial" w:cs="Arial"/>
                <w:b/>
                <w:bCs/>
                <w:sz w:val="22"/>
                <w:szCs w:val="22"/>
              </w:rPr>
            </w:pPr>
          </w:p>
        </w:tc>
      </w:tr>
      <w:tr w:rsidR="00D91581" w:rsidRPr="00827E5B" w14:paraId="58F33CE6" w14:textId="77777777" w:rsidTr="00363D23">
        <w:tc>
          <w:tcPr>
            <w:tcW w:w="3307" w:type="dxa"/>
            <w:gridSpan w:val="5"/>
          </w:tcPr>
          <w:p w14:paraId="679B4DCA" w14:textId="77777777" w:rsidR="00D91581" w:rsidRPr="00827E5B" w:rsidRDefault="00D91581" w:rsidP="009D7A57">
            <w:pPr>
              <w:rPr>
                <w:rFonts w:ascii="Arial" w:hAnsi="Arial" w:cs="Arial"/>
                <w:b/>
                <w:sz w:val="22"/>
                <w:szCs w:val="22"/>
              </w:rPr>
            </w:pPr>
            <w:r w:rsidRPr="00827E5B">
              <w:rPr>
                <w:rFonts w:ascii="Arial" w:hAnsi="Arial" w:cs="Arial"/>
                <w:b/>
                <w:sz w:val="22"/>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14:paraId="4C04385E" w14:textId="7B00B0E5" w:rsidR="00D91581" w:rsidRPr="00827E5B" w:rsidRDefault="00D91581" w:rsidP="009D7A57">
            <w:pPr>
              <w:rPr>
                <w:rFonts w:ascii="Arial" w:hAnsi="Arial" w:cs="Arial"/>
                <w:sz w:val="22"/>
                <w:szCs w:val="22"/>
              </w:rPr>
            </w:pPr>
            <w:bookmarkStart w:id="2" w:name="Predavatelj"/>
            <w:bookmarkEnd w:id="2"/>
            <w:r w:rsidRPr="00827E5B">
              <w:rPr>
                <w:rFonts w:ascii="Arial" w:hAnsi="Arial" w:cs="Arial"/>
                <w:sz w:val="22"/>
                <w:szCs w:val="22"/>
              </w:rPr>
              <w:t xml:space="preserve">prof. dr. </w:t>
            </w:r>
            <w:r w:rsidR="00BB01A3">
              <w:rPr>
                <w:rFonts w:ascii="Arial" w:hAnsi="Arial" w:cs="Arial"/>
                <w:sz w:val="22"/>
                <w:szCs w:val="22"/>
              </w:rPr>
              <w:t>Katarina Zajc</w:t>
            </w:r>
          </w:p>
        </w:tc>
      </w:tr>
      <w:tr w:rsidR="00D91581" w:rsidRPr="00827E5B" w14:paraId="2F0BA3B4" w14:textId="77777777" w:rsidTr="00363D23">
        <w:tc>
          <w:tcPr>
            <w:tcW w:w="9690" w:type="dxa"/>
            <w:gridSpan w:val="18"/>
          </w:tcPr>
          <w:p w14:paraId="067419BA" w14:textId="77777777" w:rsidR="00D91581" w:rsidRPr="00827E5B" w:rsidRDefault="00D91581" w:rsidP="009D7A57">
            <w:pPr>
              <w:jc w:val="both"/>
              <w:rPr>
                <w:rFonts w:ascii="Arial" w:hAnsi="Arial" w:cs="Arial"/>
                <w:sz w:val="22"/>
                <w:szCs w:val="22"/>
              </w:rPr>
            </w:pPr>
          </w:p>
        </w:tc>
      </w:tr>
      <w:tr w:rsidR="00D91581" w:rsidRPr="00827E5B" w14:paraId="45D2B06F" w14:textId="77777777" w:rsidTr="00363D23">
        <w:tc>
          <w:tcPr>
            <w:tcW w:w="1641" w:type="dxa"/>
            <w:gridSpan w:val="2"/>
            <w:vMerge w:val="restart"/>
          </w:tcPr>
          <w:p w14:paraId="6C93ED88" w14:textId="77777777" w:rsidR="00D91581" w:rsidRPr="00827E5B" w:rsidRDefault="00D91581" w:rsidP="009D7A57">
            <w:pPr>
              <w:rPr>
                <w:rFonts w:ascii="Arial" w:hAnsi="Arial" w:cs="Arial"/>
                <w:b/>
                <w:sz w:val="22"/>
                <w:szCs w:val="22"/>
              </w:rPr>
            </w:pPr>
            <w:r w:rsidRPr="00827E5B">
              <w:rPr>
                <w:rFonts w:ascii="Arial" w:hAnsi="Arial" w:cs="Arial"/>
                <w:b/>
                <w:sz w:val="22"/>
                <w:szCs w:val="22"/>
              </w:rPr>
              <w:t xml:space="preserve">Jeziki / </w:t>
            </w:r>
          </w:p>
          <w:p w14:paraId="020C5CA4" w14:textId="77777777" w:rsidR="00D91581" w:rsidRPr="00827E5B" w:rsidRDefault="00D91581" w:rsidP="009D7A57">
            <w:pPr>
              <w:rPr>
                <w:rFonts w:ascii="Arial" w:hAnsi="Arial" w:cs="Arial"/>
                <w:sz w:val="22"/>
                <w:szCs w:val="22"/>
              </w:rPr>
            </w:pPr>
            <w:r w:rsidRPr="00827E5B">
              <w:rPr>
                <w:rFonts w:ascii="Arial" w:hAnsi="Arial" w:cs="Arial"/>
                <w:b/>
                <w:sz w:val="22"/>
                <w:szCs w:val="22"/>
              </w:rPr>
              <w:t>Languages:</w:t>
            </w:r>
          </w:p>
        </w:tc>
        <w:tc>
          <w:tcPr>
            <w:tcW w:w="2241" w:type="dxa"/>
            <w:gridSpan w:val="4"/>
          </w:tcPr>
          <w:p w14:paraId="2F4AB826" w14:textId="77777777" w:rsidR="00D91581" w:rsidRPr="00827E5B" w:rsidRDefault="00D91581" w:rsidP="009D7A57">
            <w:pPr>
              <w:jc w:val="right"/>
              <w:rPr>
                <w:rFonts w:ascii="Arial" w:hAnsi="Arial" w:cs="Arial"/>
                <w:b/>
                <w:sz w:val="22"/>
                <w:szCs w:val="22"/>
              </w:rPr>
            </w:pPr>
            <w:r w:rsidRPr="00827E5B">
              <w:rPr>
                <w:rFonts w:ascii="Arial" w:hAnsi="Arial" w:cs="Arial"/>
                <w:b/>
                <w:sz w:val="22"/>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608768F7" w14:textId="77777777" w:rsidR="00D91581" w:rsidRPr="00827E5B" w:rsidRDefault="00D91581" w:rsidP="009D7A57">
            <w:pPr>
              <w:jc w:val="both"/>
              <w:rPr>
                <w:rFonts w:ascii="Arial" w:hAnsi="Arial" w:cs="Arial"/>
                <w:b/>
                <w:bCs/>
                <w:sz w:val="22"/>
                <w:szCs w:val="22"/>
              </w:rPr>
            </w:pPr>
            <w:bookmarkStart w:id="3" w:name="Jezik"/>
            <w:bookmarkEnd w:id="3"/>
            <w:r w:rsidRPr="00827E5B">
              <w:rPr>
                <w:rFonts w:ascii="Arial" w:hAnsi="Arial" w:cs="Arial"/>
                <w:b/>
                <w:sz w:val="22"/>
                <w:szCs w:val="22"/>
              </w:rPr>
              <w:t>Slovenski</w:t>
            </w:r>
            <w:r w:rsidR="004314B6" w:rsidRPr="00827E5B">
              <w:rPr>
                <w:rFonts w:ascii="Arial" w:hAnsi="Arial" w:cs="Arial"/>
                <w:b/>
                <w:sz w:val="22"/>
                <w:szCs w:val="22"/>
              </w:rPr>
              <w:t>/</w:t>
            </w:r>
            <w:r w:rsidR="004314B6" w:rsidRPr="00827E5B">
              <w:rPr>
                <w:rFonts w:ascii="Arial" w:hAnsi="Arial" w:cs="Arial"/>
                <w:b/>
                <w:sz w:val="22"/>
                <w:szCs w:val="22"/>
                <w:lang w:val="en-US"/>
              </w:rPr>
              <w:t>Slovenian</w:t>
            </w:r>
          </w:p>
        </w:tc>
      </w:tr>
      <w:tr w:rsidR="00D91581" w:rsidRPr="00827E5B" w14:paraId="4E453566" w14:textId="77777777" w:rsidTr="00363D23">
        <w:trPr>
          <w:trHeight w:val="215"/>
        </w:trPr>
        <w:tc>
          <w:tcPr>
            <w:tcW w:w="1641" w:type="dxa"/>
            <w:gridSpan w:val="2"/>
            <w:vMerge/>
            <w:vAlign w:val="center"/>
          </w:tcPr>
          <w:p w14:paraId="3EC770F6" w14:textId="77777777" w:rsidR="00D91581" w:rsidRPr="00827E5B" w:rsidRDefault="00D91581" w:rsidP="009D7A57">
            <w:pPr>
              <w:rPr>
                <w:rFonts w:ascii="Arial" w:hAnsi="Arial" w:cs="Arial"/>
                <w:b/>
                <w:bCs/>
                <w:sz w:val="22"/>
                <w:szCs w:val="22"/>
              </w:rPr>
            </w:pPr>
          </w:p>
        </w:tc>
        <w:tc>
          <w:tcPr>
            <w:tcW w:w="2241" w:type="dxa"/>
            <w:gridSpan w:val="4"/>
          </w:tcPr>
          <w:p w14:paraId="044550A8" w14:textId="77777777" w:rsidR="00D91581" w:rsidRPr="00827E5B" w:rsidRDefault="00D91581" w:rsidP="009D7A57">
            <w:pPr>
              <w:jc w:val="right"/>
              <w:rPr>
                <w:rFonts w:ascii="Arial" w:hAnsi="Arial" w:cs="Arial"/>
                <w:b/>
                <w:sz w:val="22"/>
                <w:szCs w:val="22"/>
              </w:rPr>
            </w:pPr>
            <w:r w:rsidRPr="00827E5B">
              <w:rPr>
                <w:rFonts w:ascii="Arial" w:hAnsi="Arial" w:cs="Arial"/>
                <w:b/>
                <w:sz w:val="22"/>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7233F4DA" w14:textId="77777777" w:rsidR="00D91581" w:rsidRPr="00827E5B" w:rsidRDefault="00D91581" w:rsidP="009D7A57">
            <w:pPr>
              <w:jc w:val="both"/>
              <w:rPr>
                <w:rFonts w:ascii="Arial" w:hAnsi="Arial" w:cs="Arial"/>
                <w:b/>
                <w:bCs/>
                <w:sz w:val="22"/>
                <w:szCs w:val="22"/>
              </w:rPr>
            </w:pPr>
            <w:bookmarkStart w:id="4" w:name="JezikV"/>
            <w:bookmarkEnd w:id="4"/>
          </w:p>
        </w:tc>
      </w:tr>
      <w:tr w:rsidR="00D91581" w:rsidRPr="00827E5B" w14:paraId="73E0C69A" w14:textId="77777777" w:rsidTr="00363D23">
        <w:tc>
          <w:tcPr>
            <w:tcW w:w="4728" w:type="dxa"/>
            <w:gridSpan w:val="9"/>
            <w:tcBorders>
              <w:top w:val="nil"/>
              <w:left w:val="nil"/>
              <w:bottom w:val="single" w:sz="4" w:space="0" w:color="auto"/>
              <w:right w:val="nil"/>
            </w:tcBorders>
          </w:tcPr>
          <w:p w14:paraId="501E5A9A" w14:textId="77777777" w:rsidR="00D91581" w:rsidRPr="00827E5B" w:rsidRDefault="00D91581" w:rsidP="009D7A57">
            <w:pPr>
              <w:rPr>
                <w:rFonts w:ascii="Arial" w:hAnsi="Arial" w:cs="Arial"/>
                <w:b/>
                <w:bCs/>
                <w:sz w:val="22"/>
                <w:szCs w:val="22"/>
              </w:rPr>
            </w:pPr>
          </w:p>
          <w:p w14:paraId="3786A9E7" w14:textId="77777777" w:rsidR="00D91581" w:rsidRPr="00827E5B" w:rsidRDefault="00D91581" w:rsidP="009D7A57">
            <w:pPr>
              <w:rPr>
                <w:rFonts w:ascii="Arial" w:hAnsi="Arial" w:cs="Arial"/>
                <w:b/>
                <w:sz w:val="22"/>
                <w:szCs w:val="22"/>
              </w:rPr>
            </w:pPr>
            <w:r w:rsidRPr="00827E5B">
              <w:rPr>
                <w:rFonts w:ascii="Arial" w:hAnsi="Arial" w:cs="Arial"/>
                <w:b/>
                <w:sz w:val="22"/>
                <w:szCs w:val="22"/>
              </w:rPr>
              <w:t>Pogoji za vključitev v delo oz. za opravljanje študijskih obveznosti:</w:t>
            </w:r>
          </w:p>
        </w:tc>
        <w:tc>
          <w:tcPr>
            <w:tcW w:w="142" w:type="dxa"/>
          </w:tcPr>
          <w:p w14:paraId="4430C23C" w14:textId="77777777" w:rsidR="00D91581" w:rsidRPr="00827E5B" w:rsidRDefault="00D91581" w:rsidP="009D7A57">
            <w:pPr>
              <w:rPr>
                <w:rFonts w:ascii="Arial" w:hAnsi="Arial" w:cs="Arial"/>
                <w:b/>
                <w:sz w:val="22"/>
                <w:szCs w:val="22"/>
              </w:rPr>
            </w:pPr>
          </w:p>
          <w:p w14:paraId="1D983DEF" w14:textId="77777777" w:rsidR="00D91581" w:rsidRPr="00827E5B" w:rsidRDefault="00D91581" w:rsidP="009D7A57">
            <w:pPr>
              <w:rPr>
                <w:rFonts w:ascii="Arial" w:hAnsi="Arial" w:cs="Arial"/>
                <w:b/>
                <w:sz w:val="22"/>
                <w:szCs w:val="22"/>
              </w:rPr>
            </w:pPr>
          </w:p>
        </w:tc>
        <w:tc>
          <w:tcPr>
            <w:tcW w:w="4820" w:type="dxa"/>
            <w:gridSpan w:val="8"/>
            <w:tcBorders>
              <w:top w:val="nil"/>
              <w:left w:val="nil"/>
              <w:bottom w:val="single" w:sz="4" w:space="0" w:color="auto"/>
              <w:right w:val="nil"/>
            </w:tcBorders>
          </w:tcPr>
          <w:p w14:paraId="748CADE6" w14:textId="77777777" w:rsidR="00D91581" w:rsidRPr="00827E5B" w:rsidRDefault="00D91581" w:rsidP="009D7A57">
            <w:pPr>
              <w:rPr>
                <w:rFonts w:ascii="Arial" w:hAnsi="Arial" w:cs="Arial"/>
                <w:b/>
                <w:sz w:val="22"/>
                <w:szCs w:val="22"/>
              </w:rPr>
            </w:pPr>
          </w:p>
          <w:p w14:paraId="53F8339C" w14:textId="77777777" w:rsidR="00D91581" w:rsidRPr="00827E5B" w:rsidRDefault="00D91581" w:rsidP="009D7A57">
            <w:pPr>
              <w:rPr>
                <w:rFonts w:ascii="Arial" w:hAnsi="Arial" w:cs="Arial"/>
                <w:b/>
                <w:sz w:val="22"/>
                <w:szCs w:val="22"/>
              </w:rPr>
            </w:pPr>
            <w:r w:rsidRPr="00827E5B">
              <w:rPr>
                <w:rFonts w:ascii="Arial" w:hAnsi="Arial" w:cs="Arial"/>
                <w:b/>
                <w:sz w:val="22"/>
                <w:szCs w:val="22"/>
              </w:rPr>
              <w:t>Prerequisits:</w:t>
            </w:r>
          </w:p>
        </w:tc>
      </w:tr>
      <w:tr w:rsidR="00D91581" w:rsidRPr="00827E5B" w14:paraId="01D408AD" w14:textId="77777777" w:rsidTr="00363D23">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11300779" w14:textId="536C9047" w:rsidR="00D91581" w:rsidRPr="00B1541A" w:rsidRDefault="00BB01A3" w:rsidP="00B1541A">
            <w:pPr>
              <w:pStyle w:val="Odstavekseznama"/>
              <w:numPr>
                <w:ilvl w:val="0"/>
                <w:numId w:val="1"/>
              </w:numPr>
              <w:rPr>
                <w:rFonts w:ascii="Arial" w:hAnsi="Arial" w:cs="Arial"/>
                <w:sz w:val="22"/>
                <w:szCs w:val="22"/>
              </w:rPr>
            </w:pPr>
            <w:r>
              <w:rPr>
                <w:rFonts w:ascii="Arial" w:hAnsi="Arial" w:cs="Arial"/>
                <w:sz w:val="22"/>
                <w:szCs w:val="22"/>
              </w:rPr>
              <w:t>Ni posebnih pogojev</w:t>
            </w:r>
          </w:p>
        </w:tc>
        <w:tc>
          <w:tcPr>
            <w:tcW w:w="142" w:type="dxa"/>
            <w:tcBorders>
              <w:top w:val="nil"/>
              <w:left w:val="single" w:sz="4" w:space="0" w:color="auto"/>
              <w:bottom w:val="nil"/>
              <w:right w:val="single" w:sz="4" w:space="0" w:color="auto"/>
            </w:tcBorders>
          </w:tcPr>
          <w:p w14:paraId="7A9B5471" w14:textId="77777777" w:rsidR="00D91581" w:rsidRPr="00827E5B" w:rsidRDefault="00D91581" w:rsidP="009D7A57">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340368B0" w14:textId="00A119B8" w:rsidR="00D91581" w:rsidRPr="00B1541A" w:rsidRDefault="00BB01A3" w:rsidP="00B1541A">
            <w:pPr>
              <w:pStyle w:val="Odstavekseznama"/>
              <w:numPr>
                <w:ilvl w:val="0"/>
                <w:numId w:val="1"/>
              </w:numPr>
              <w:rPr>
                <w:rFonts w:ascii="Arial" w:hAnsi="Arial" w:cs="Arial"/>
                <w:sz w:val="22"/>
                <w:szCs w:val="22"/>
                <w:lang w:val="en-US"/>
              </w:rPr>
            </w:pPr>
            <w:r>
              <w:rPr>
                <w:rFonts w:ascii="Arial" w:hAnsi="Arial" w:cs="Arial"/>
                <w:sz w:val="22"/>
                <w:szCs w:val="22"/>
                <w:lang w:val="en-US"/>
              </w:rPr>
              <w:t>No prerequisites</w:t>
            </w:r>
          </w:p>
        </w:tc>
      </w:tr>
      <w:tr w:rsidR="00D91581" w:rsidRPr="00827E5B" w14:paraId="4B5AE0E1" w14:textId="77777777" w:rsidTr="00363D23">
        <w:trPr>
          <w:trHeight w:val="137"/>
        </w:trPr>
        <w:tc>
          <w:tcPr>
            <w:tcW w:w="4718" w:type="dxa"/>
            <w:gridSpan w:val="8"/>
            <w:tcBorders>
              <w:top w:val="nil"/>
              <w:left w:val="nil"/>
              <w:bottom w:val="single" w:sz="4" w:space="0" w:color="auto"/>
              <w:right w:val="nil"/>
            </w:tcBorders>
          </w:tcPr>
          <w:p w14:paraId="3E5D7511" w14:textId="77777777" w:rsidR="00D91581" w:rsidRPr="00827E5B" w:rsidRDefault="00D91581" w:rsidP="009D7A57">
            <w:pPr>
              <w:rPr>
                <w:rFonts w:ascii="Arial" w:hAnsi="Arial" w:cs="Arial"/>
                <w:b/>
                <w:sz w:val="22"/>
                <w:szCs w:val="22"/>
              </w:rPr>
            </w:pPr>
          </w:p>
          <w:p w14:paraId="2260EB11" w14:textId="77777777" w:rsidR="00D91581" w:rsidRPr="00827E5B" w:rsidRDefault="00D91581" w:rsidP="009D7A57">
            <w:pPr>
              <w:rPr>
                <w:rFonts w:ascii="Arial" w:hAnsi="Arial" w:cs="Arial"/>
                <w:b/>
                <w:sz w:val="22"/>
                <w:szCs w:val="22"/>
              </w:rPr>
            </w:pPr>
            <w:r w:rsidRPr="00827E5B">
              <w:rPr>
                <w:rFonts w:ascii="Arial" w:hAnsi="Arial" w:cs="Arial"/>
                <w:b/>
                <w:sz w:val="22"/>
                <w:szCs w:val="22"/>
              </w:rPr>
              <w:t>Vsebina:</w:t>
            </w:r>
            <w:r w:rsidRPr="00827E5B">
              <w:rPr>
                <w:rFonts w:ascii="Arial" w:hAnsi="Arial" w:cs="Arial"/>
                <w:sz w:val="22"/>
                <w:szCs w:val="22"/>
              </w:rPr>
              <w:t xml:space="preserve"> </w:t>
            </w:r>
          </w:p>
        </w:tc>
        <w:tc>
          <w:tcPr>
            <w:tcW w:w="152" w:type="dxa"/>
            <w:gridSpan w:val="2"/>
          </w:tcPr>
          <w:p w14:paraId="7B26A624" w14:textId="77777777" w:rsidR="00D91581" w:rsidRPr="00827E5B" w:rsidRDefault="00D91581" w:rsidP="009D7A57">
            <w:pPr>
              <w:rPr>
                <w:rFonts w:ascii="Arial" w:hAnsi="Arial" w:cs="Arial"/>
                <w:b/>
                <w:sz w:val="22"/>
                <w:szCs w:val="22"/>
              </w:rPr>
            </w:pPr>
          </w:p>
        </w:tc>
        <w:tc>
          <w:tcPr>
            <w:tcW w:w="4820" w:type="dxa"/>
            <w:gridSpan w:val="8"/>
            <w:tcBorders>
              <w:top w:val="nil"/>
              <w:left w:val="nil"/>
              <w:bottom w:val="single" w:sz="4" w:space="0" w:color="auto"/>
              <w:right w:val="nil"/>
            </w:tcBorders>
          </w:tcPr>
          <w:p w14:paraId="14C0B169" w14:textId="77777777" w:rsidR="00D91581" w:rsidRPr="00827E5B" w:rsidRDefault="00D91581" w:rsidP="009D7A57">
            <w:pPr>
              <w:rPr>
                <w:rFonts w:ascii="Arial" w:hAnsi="Arial" w:cs="Arial"/>
                <w:b/>
                <w:sz w:val="22"/>
                <w:szCs w:val="22"/>
              </w:rPr>
            </w:pPr>
          </w:p>
          <w:p w14:paraId="3F62C636" w14:textId="77777777" w:rsidR="00D91581" w:rsidRPr="00827E5B" w:rsidRDefault="00D91581" w:rsidP="009D7A57">
            <w:pPr>
              <w:rPr>
                <w:rFonts w:ascii="Arial" w:hAnsi="Arial" w:cs="Arial"/>
                <w:b/>
                <w:sz w:val="22"/>
                <w:szCs w:val="22"/>
              </w:rPr>
            </w:pPr>
            <w:r w:rsidRPr="00827E5B">
              <w:rPr>
                <w:rFonts w:ascii="Arial" w:hAnsi="Arial" w:cs="Arial"/>
                <w:b/>
                <w:sz w:val="22"/>
                <w:szCs w:val="22"/>
              </w:rPr>
              <w:t>Content (Syllabus outline):</w:t>
            </w:r>
          </w:p>
        </w:tc>
      </w:tr>
      <w:tr w:rsidR="00D91581" w:rsidRPr="00827E5B" w14:paraId="7E2B3596" w14:textId="77777777" w:rsidTr="00363D23">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083BCE3F" w14:textId="77777777" w:rsidR="00BB490A" w:rsidRPr="00827E5B" w:rsidRDefault="00BB490A" w:rsidP="00BB490A">
            <w:pPr>
              <w:rPr>
                <w:rFonts w:ascii="Arial" w:hAnsi="Arial" w:cs="Arial"/>
                <w:b/>
                <w:bCs/>
                <w:sz w:val="22"/>
                <w:szCs w:val="22"/>
              </w:rPr>
            </w:pPr>
            <w:r w:rsidRPr="00827E5B">
              <w:rPr>
                <w:rFonts w:ascii="Arial" w:hAnsi="Arial" w:cs="Arial"/>
                <w:b/>
                <w:bCs/>
                <w:sz w:val="22"/>
                <w:szCs w:val="22"/>
              </w:rPr>
              <w:lastRenderedPageBreak/>
              <w:t>Prvi del: Poslovne finance</w:t>
            </w:r>
          </w:p>
          <w:p w14:paraId="7963F45D" w14:textId="77777777" w:rsidR="00BB490A" w:rsidRPr="00827E5B" w:rsidRDefault="00BB490A" w:rsidP="00BB490A">
            <w:pPr>
              <w:rPr>
                <w:rFonts w:ascii="Arial" w:hAnsi="Arial" w:cs="Arial"/>
                <w:sz w:val="22"/>
                <w:szCs w:val="22"/>
              </w:rPr>
            </w:pPr>
          </w:p>
          <w:p w14:paraId="4FDC9EE8" w14:textId="77777777" w:rsidR="00BB01A3" w:rsidRPr="00827E5B" w:rsidRDefault="00BB01A3" w:rsidP="00BB01A3">
            <w:pPr>
              <w:rPr>
                <w:rFonts w:ascii="Arial" w:hAnsi="Arial" w:cs="Arial"/>
                <w:b/>
                <w:bCs/>
                <w:sz w:val="22"/>
                <w:szCs w:val="22"/>
              </w:rPr>
            </w:pPr>
            <w:r w:rsidRPr="00827E5B">
              <w:rPr>
                <w:rFonts w:ascii="Arial" w:hAnsi="Arial" w:cs="Arial"/>
                <w:b/>
                <w:bCs/>
                <w:sz w:val="22"/>
                <w:szCs w:val="22"/>
              </w:rPr>
              <w:t>Prvi del: Poslovne finance</w:t>
            </w:r>
          </w:p>
          <w:p w14:paraId="5DC90E89" w14:textId="77777777" w:rsidR="00BB01A3" w:rsidRPr="00827E5B" w:rsidRDefault="00BB01A3" w:rsidP="00BB01A3">
            <w:pPr>
              <w:rPr>
                <w:rFonts w:ascii="Arial" w:hAnsi="Arial" w:cs="Arial"/>
                <w:sz w:val="22"/>
                <w:szCs w:val="22"/>
              </w:rPr>
            </w:pPr>
          </w:p>
          <w:p w14:paraId="053F78F6" w14:textId="77777777" w:rsidR="00BB01A3" w:rsidRPr="00827E5B" w:rsidRDefault="00BB01A3" w:rsidP="00BB01A3">
            <w:pPr>
              <w:rPr>
                <w:rFonts w:ascii="Arial" w:hAnsi="Arial" w:cs="Arial"/>
                <w:bCs/>
                <w:sz w:val="22"/>
                <w:szCs w:val="22"/>
              </w:rPr>
            </w:pPr>
            <w:r w:rsidRPr="00827E5B">
              <w:rPr>
                <w:rFonts w:ascii="Arial" w:hAnsi="Arial" w:cs="Arial"/>
                <w:bCs/>
                <w:sz w:val="22"/>
                <w:szCs w:val="22"/>
              </w:rPr>
              <w:t>1. Predmet poslovnih financ</w:t>
            </w:r>
            <w:r>
              <w:rPr>
                <w:rFonts w:ascii="Arial" w:hAnsi="Arial" w:cs="Arial"/>
                <w:bCs/>
                <w:sz w:val="22"/>
                <w:szCs w:val="22"/>
              </w:rPr>
              <w:t xml:space="preserve"> in finančno okolje podjetja</w:t>
            </w:r>
          </w:p>
          <w:p w14:paraId="6F102B03" w14:textId="77777777" w:rsidR="00BB01A3" w:rsidRPr="00827E5B" w:rsidRDefault="00BB01A3" w:rsidP="00BB01A3">
            <w:pPr>
              <w:rPr>
                <w:rFonts w:ascii="Arial" w:hAnsi="Arial" w:cs="Arial"/>
                <w:bCs/>
                <w:sz w:val="22"/>
                <w:szCs w:val="22"/>
              </w:rPr>
            </w:pPr>
          </w:p>
          <w:p w14:paraId="5A4F1464" w14:textId="77777777" w:rsidR="00BB01A3" w:rsidRDefault="00BB01A3" w:rsidP="00BB01A3">
            <w:pPr>
              <w:rPr>
                <w:rFonts w:ascii="Arial" w:hAnsi="Arial" w:cs="Arial"/>
                <w:sz w:val="22"/>
                <w:szCs w:val="22"/>
              </w:rPr>
            </w:pPr>
            <w:r w:rsidRPr="00827E5B">
              <w:rPr>
                <w:rFonts w:ascii="Arial" w:hAnsi="Arial" w:cs="Arial"/>
                <w:bCs/>
                <w:sz w:val="22"/>
                <w:szCs w:val="22"/>
              </w:rPr>
              <w:t xml:space="preserve">2. </w:t>
            </w:r>
            <w:r>
              <w:rPr>
                <w:rFonts w:ascii="Arial" w:hAnsi="Arial" w:cs="Arial"/>
                <w:sz w:val="22"/>
                <w:szCs w:val="22"/>
              </w:rPr>
              <w:t>Zakonski okvir računovodskega poročanja</w:t>
            </w:r>
            <w:r w:rsidRPr="00827E5B">
              <w:rPr>
                <w:rFonts w:ascii="Arial" w:hAnsi="Arial" w:cs="Arial"/>
                <w:sz w:val="22"/>
                <w:szCs w:val="22"/>
              </w:rPr>
              <w:t xml:space="preserve"> v Sloveniji</w:t>
            </w:r>
          </w:p>
          <w:p w14:paraId="26CE1560" w14:textId="77777777" w:rsidR="00BB01A3" w:rsidRPr="00827E5B" w:rsidRDefault="00BB01A3" w:rsidP="00BB01A3">
            <w:pPr>
              <w:rPr>
                <w:rFonts w:ascii="Arial" w:hAnsi="Arial" w:cs="Arial"/>
                <w:sz w:val="22"/>
                <w:szCs w:val="22"/>
              </w:rPr>
            </w:pPr>
          </w:p>
          <w:p w14:paraId="4B16BD92" w14:textId="77777777" w:rsidR="00BB01A3" w:rsidRDefault="00BB01A3" w:rsidP="00BB01A3">
            <w:pPr>
              <w:rPr>
                <w:rFonts w:ascii="Arial" w:hAnsi="Arial" w:cs="Arial"/>
                <w:sz w:val="22"/>
                <w:szCs w:val="22"/>
              </w:rPr>
            </w:pPr>
            <w:r>
              <w:rPr>
                <w:rFonts w:ascii="Arial" w:hAnsi="Arial" w:cs="Arial"/>
                <w:sz w:val="22"/>
                <w:szCs w:val="22"/>
              </w:rPr>
              <w:t>3.</w:t>
            </w:r>
            <w:r w:rsidRPr="00827E5B">
              <w:rPr>
                <w:rFonts w:ascii="Arial" w:hAnsi="Arial" w:cs="Arial"/>
                <w:sz w:val="22"/>
                <w:szCs w:val="22"/>
              </w:rPr>
              <w:t xml:space="preserve"> </w:t>
            </w:r>
            <w:r>
              <w:rPr>
                <w:rFonts w:ascii="Arial" w:hAnsi="Arial" w:cs="Arial"/>
                <w:sz w:val="22"/>
                <w:szCs w:val="22"/>
              </w:rPr>
              <w:t>Vsebina temeljnih računovodskih izkazov</w:t>
            </w:r>
          </w:p>
          <w:p w14:paraId="42735EA2" w14:textId="77777777" w:rsidR="00BB01A3" w:rsidRDefault="00BB01A3" w:rsidP="00BB01A3">
            <w:pPr>
              <w:rPr>
                <w:rFonts w:ascii="Arial" w:hAnsi="Arial" w:cs="Arial"/>
                <w:sz w:val="22"/>
                <w:szCs w:val="22"/>
              </w:rPr>
            </w:pPr>
            <w:r>
              <w:rPr>
                <w:rFonts w:ascii="Arial" w:hAnsi="Arial" w:cs="Arial"/>
                <w:sz w:val="22"/>
                <w:szCs w:val="22"/>
              </w:rPr>
              <w:t xml:space="preserve">3.1. </w:t>
            </w:r>
            <w:r w:rsidRPr="00827E5B">
              <w:rPr>
                <w:rFonts w:ascii="Arial" w:hAnsi="Arial" w:cs="Arial"/>
                <w:sz w:val="22"/>
                <w:szCs w:val="22"/>
              </w:rPr>
              <w:t>Bilanca stanja</w:t>
            </w:r>
          </w:p>
          <w:p w14:paraId="6D607782" w14:textId="77777777" w:rsidR="00BB01A3" w:rsidRDefault="00BB01A3" w:rsidP="00BB01A3">
            <w:pPr>
              <w:rPr>
                <w:rFonts w:ascii="Arial" w:hAnsi="Arial" w:cs="Arial"/>
                <w:sz w:val="22"/>
                <w:szCs w:val="22"/>
              </w:rPr>
            </w:pPr>
            <w:r>
              <w:rPr>
                <w:rFonts w:ascii="Arial" w:hAnsi="Arial" w:cs="Arial"/>
                <w:sz w:val="22"/>
                <w:szCs w:val="22"/>
              </w:rPr>
              <w:t>3.2.I</w:t>
            </w:r>
            <w:r w:rsidRPr="00827E5B">
              <w:rPr>
                <w:rFonts w:ascii="Arial" w:hAnsi="Arial" w:cs="Arial"/>
                <w:sz w:val="22"/>
                <w:szCs w:val="22"/>
              </w:rPr>
              <w:t>zkaz poslovnega izida</w:t>
            </w:r>
          </w:p>
          <w:p w14:paraId="28D5990F" w14:textId="77777777" w:rsidR="00BB01A3" w:rsidRDefault="00BB01A3" w:rsidP="00BB01A3">
            <w:pPr>
              <w:rPr>
                <w:rFonts w:ascii="Arial" w:hAnsi="Arial" w:cs="Arial"/>
                <w:sz w:val="22"/>
                <w:szCs w:val="22"/>
              </w:rPr>
            </w:pPr>
            <w:r>
              <w:rPr>
                <w:rFonts w:ascii="Arial" w:hAnsi="Arial" w:cs="Arial"/>
                <w:sz w:val="22"/>
                <w:szCs w:val="22"/>
              </w:rPr>
              <w:t>3.3. Izkaz denarnih tokov</w:t>
            </w:r>
          </w:p>
          <w:p w14:paraId="255D9E68" w14:textId="77777777" w:rsidR="00BB01A3" w:rsidRDefault="00BB01A3" w:rsidP="00BB01A3">
            <w:pPr>
              <w:rPr>
                <w:rFonts w:ascii="Arial" w:hAnsi="Arial" w:cs="Arial"/>
                <w:sz w:val="22"/>
                <w:szCs w:val="22"/>
              </w:rPr>
            </w:pPr>
          </w:p>
          <w:p w14:paraId="1392B9FA" w14:textId="77777777" w:rsidR="00BB01A3" w:rsidRDefault="00BB01A3" w:rsidP="00BB01A3">
            <w:pPr>
              <w:rPr>
                <w:rFonts w:ascii="Arial" w:hAnsi="Arial" w:cs="Arial"/>
                <w:sz w:val="22"/>
                <w:szCs w:val="22"/>
              </w:rPr>
            </w:pPr>
            <w:r>
              <w:rPr>
                <w:rFonts w:ascii="Arial" w:hAnsi="Arial" w:cs="Arial"/>
                <w:sz w:val="22"/>
                <w:szCs w:val="22"/>
              </w:rPr>
              <w:t>4.  Učinki najpogostejših poslovnih dogodkov na poslovni izid, denarni izid in finančni položaj podjetja</w:t>
            </w:r>
          </w:p>
          <w:p w14:paraId="7EF55627" w14:textId="77777777" w:rsidR="00BB01A3" w:rsidRDefault="00BB01A3" w:rsidP="00BB01A3">
            <w:pPr>
              <w:rPr>
                <w:rFonts w:ascii="Arial" w:hAnsi="Arial" w:cs="Arial"/>
                <w:sz w:val="22"/>
                <w:szCs w:val="22"/>
              </w:rPr>
            </w:pPr>
          </w:p>
          <w:p w14:paraId="24F70810" w14:textId="77777777" w:rsidR="00BB01A3" w:rsidRDefault="00BB01A3" w:rsidP="00BB01A3">
            <w:pPr>
              <w:rPr>
                <w:rFonts w:ascii="Arial" w:hAnsi="Arial" w:cs="Arial"/>
                <w:sz w:val="22"/>
                <w:szCs w:val="22"/>
              </w:rPr>
            </w:pPr>
            <w:r>
              <w:rPr>
                <w:rFonts w:ascii="Arial" w:hAnsi="Arial" w:cs="Arial"/>
                <w:sz w:val="22"/>
                <w:szCs w:val="22"/>
              </w:rPr>
              <w:t xml:space="preserve">5. Klasifikacija stroškov </w:t>
            </w:r>
          </w:p>
          <w:p w14:paraId="33FD04E3" w14:textId="77777777" w:rsidR="00BB01A3" w:rsidRPr="00827E5B" w:rsidRDefault="00BB01A3" w:rsidP="00BB01A3">
            <w:pPr>
              <w:rPr>
                <w:rFonts w:ascii="Arial" w:hAnsi="Arial" w:cs="Arial"/>
                <w:sz w:val="22"/>
                <w:szCs w:val="22"/>
              </w:rPr>
            </w:pPr>
          </w:p>
          <w:p w14:paraId="0CB13F5A" w14:textId="77777777" w:rsidR="00BB01A3" w:rsidRPr="00827E5B" w:rsidRDefault="00BB01A3" w:rsidP="00BB01A3">
            <w:pPr>
              <w:rPr>
                <w:rFonts w:ascii="Arial" w:hAnsi="Arial" w:cs="Arial"/>
                <w:sz w:val="22"/>
                <w:szCs w:val="22"/>
              </w:rPr>
            </w:pPr>
            <w:r>
              <w:rPr>
                <w:rFonts w:ascii="Arial" w:hAnsi="Arial" w:cs="Arial"/>
                <w:sz w:val="22"/>
                <w:szCs w:val="22"/>
              </w:rPr>
              <w:t xml:space="preserve">6. </w:t>
            </w:r>
            <w:r w:rsidRPr="00827E5B">
              <w:rPr>
                <w:rFonts w:ascii="Arial" w:hAnsi="Arial" w:cs="Arial"/>
                <w:sz w:val="22"/>
                <w:szCs w:val="22"/>
              </w:rPr>
              <w:t xml:space="preserve">Analiza </w:t>
            </w:r>
            <w:r>
              <w:rPr>
                <w:rFonts w:ascii="Arial" w:hAnsi="Arial" w:cs="Arial"/>
                <w:sz w:val="22"/>
                <w:szCs w:val="22"/>
              </w:rPr>
              <w:t>računovodskih</w:t>
            </w:r>
            <w:r w:rsidRPr="00827E5B">
              <w:rPr>
                <w:rFonts w:ascii="Arial" w:hAnsi="Arial" w:cs="Arial"/>
                <w:sz w:val="22"/>
                <w:szCs w:val="22"/>
              </w:rPr>
              <w:t xml:space="preserve"> izkazov</w:t>
            </w:r>
          </w:p>
          <w:p w14:paraId="06D80CBB" w14:textId="77777777" w:rsidR="00BB01A3" w:rsidRPr="00827E5B" w:rsidRDefault="00BB01A3" w:rsidP="00BB01A3">
            <w:pPr>
              <w:rPr>
                <w:rFonts w:ascii="Arial" w:hAnsi="Arial" w:cs="Arial"/>
                <w:sz w:val="22"/>
                <w:szCs w:val="22"/>
              </w:rPr>
            </w:pPr>
          </w:p>
          <w:p w14:paraId="296D1BC8" w14:textId="77777777" w:rsidR="00BB01A3" w:rsidRDefault="00BB01A3" w:rsidP="00BB01A3">
            <w:pPr>
              <w:rPr>
                <w:rFonts w:ascii="Arial" w:hAnsi="Arial" w:cs="Arial"/>
                <w:bCs/>
                <w:sz w:val="22"/>
                <w:szCs w:val="22"/>
              </w:rPr>
            </w:pPr>
            <w:r>
              <w:rPr>
                <w:rFonts w:ascii="Arial" w:hAnsi="Arial" w:cs="Arial"/>
                <w:bCs/>
                <w:sz w:val="22"/>
                <w:szCs w:val="22"/>
              </w:rPr>
              <w:t>7. Časovna vrednost denarja</w:t>
            </w:r>
          </w:p>
          <w:p w14:paraId="59CF83D3" w14:textId="77777777" w:rsidR="00BB01A3" w:rsidRDefault="00BB01A3" w:rsidP="00BB01A3">
            <w:pPr>
              <w:rPr>
                <w:rFonts w:ascii="Arial" w:hAnsi="Arial" w:cs="Arial"/>
                <w:bCs/>
                <w:sz w:val="22"/>
                <w:szCs w:val="22"/>
              </w:rPr>
            </w:pPr>
            <w:r>
              <w:rPr>
                <w:rFonts w:ascii="Arial" w:hAnsi="Arial" w:cs="Arial"/>
                <w:bCs/>
                <w:sz w:val="22"/>
                <w:szCs w:val="22"/>
              </w:rPr>
              <w:t>7.1. Diskontirani denarni tokovi in vrednotenje</w:t>
            </w:r>
          </w:p>
          <w:p w14:paraId="09010A06" w14:textId="77777777" w:rsidR="00BB01A3" w:rsidRDefault="00BB01A3" w:rsidP="00BB01A3">
            <w:pPr>
              <w:rPr>
                <w:rFonts w:ascii="Arial" w:hAnsi="Arial" w:cs="Arial"/>
                <w:bCs/>
                <w:sz w:val="22"/>
                <w:szCs w:val="22"/>
              </w:rPr>
            </w:pPr>
          </w:p>
          <w:p w14:paraId="07EA4FE4" w14:textId="77777777" w:rsidR="00BB01A3" w:rsidRDefault="00BB01A3" w:rsidP="00BB01A3">
            <w:pPr>
              <w:rPr>
                <w:rFonts w:ascii="Arial" w:hAnsi="Arial" w:cs="Arial"/>
                <w:bCs/>
                <w:sz w:val="22"/>
                <w:szCs w:val="22"/>
              </w:rPr>
            </w:pPr>
            <w:r>
              <w:rPr>
                <w:rFonts w:ascii="Arial" w:hAnsi="Arial" w:cs="Arial"/>
                <w:bCs/>
                <w:sz w:val="22"/>
                <w:szCs w:val="22"/>
              </w:rPr>
              <w:t>8. Tveganje in donosnost</w:t>
            </w:r>
          </w:p>
          <w:p w14:paraId="43078AC9" w14:textId="77777777" w:rsidR="00BB01A3" w:rsidRDefault="00BB01A3" w:rsidP="00BB01A3">
            <w:pPr>
              <w:rPr>
                <w:rFonts w:ascii="Arial" w:hAnsi="Arial" w:cs="Arial"/>
                <w:bCs/>
                <w:sz w:val="22"/>
                <w:szCs w:val="22"/>
              </w:rPr>
            </w:pPr>
          </w:p>
          <w:p w14:paraId="13641A43" w14:textId="77777777" w:rsidR="00BB01A3" w:rsidRDefault="00BB01A3" w:rsidP="00BB01A3">
            <w:pPr>
              <w:rPr>
                <w:rFonts w:ascii="Arial" w:hAnsi="Arial" w:cs="Arial"/>
                <w:bCs/>
                <w:sz w:val="22"/>
                <w:szCs w:val="22"/>
              </w:rPr>
            </w:pPr>
            <w:r>
              <w:rPr>
                <w:rFonts w:ascii="Arial" w:hAnsi="Arial" w:cs="Arial"/>
                <w:bCs/>
                <w:sz w:val="22"/>
                <w:szCs w:val="22"/>
              </w:rPr>
              <w:t>9. Financiranje podjetja</w:t>
            </w:r>
          </w:p>
          <w:p w14:paraId="02503CA2" w14:textId="77777777" w:rsidR="00BB01A3" w:rsidRDefault="00BB01A3" w:rsidP="00BB01A3">
            <w:pPr>
              <w:rPr>
                <w:rFonts w:ascii="Arial" w:hAnsi="Arial" w:cs="Arial"/>
                <w:bCs/>
                <w:sz w:val="22"/>
                <w:szCs w:val="22"/>
              </w:rPr>
            </w:pPr>
            <w:r>
              <w:rPr>
                <w:rFonts w:ascii="Arial" w:hAnsi="Arial" w:cs="Arial"/>
                <w:bCs/>
                <w:sz w:val="22"/>
                <w:szCs w:val="22"/>
              </w:rPr>
              <w:t>9.1. Vrednotenje obveznic</w:t>
            </w:r>
          </w:p>
          <w:p w14:paraId="5B32C07B" w14:textId="77777777" w:rsidR="00BB01A3" w:rsidRDefault="00BB01A3" w:rsidP="00BB01A3">
            <w:pPr>
              <w:rPr>
                <w:rFonts w:ascii="Arial" w:hAnsi="Arial" w:cs="Arial"/>
                <w:bCs/>
                <w:sz w:val="22"/>
                <w:szCs w:val="22"/>
              </w:rPr>
            </w:pPr>
            <w:r>
              <w:rPr>
                <w:rFonts w:ascii="Arial" w:hAnsi="Arial" w:cs="Arial"/>
                <w:bCs/>
                <w:sz w:val="22"/>
                <w:szCs w:val="22"/>
              </w:rPr>
              <w:t>9.2. Vrednotenje delnic</w:t>
            </w:r>
          </w:p>
          <w:p w14:paraId="450F2047" w14:textId="77777777" w:rsidR="00BB01A3" w:rsidRDefault="00BB01A3" w:rsidP="00BB01A3">
            <w:pPr>
              <w:rPr>
                <w:rFonts w:ascii="Arial" w:hAnsi="Arial" w:cs="Arial"/>
                <w:bCs/>
                <w:sz w:val="22"/>
                <w:szCs w:val="22"/>
              </w:rPr>
            </w:pPr>
          </w:p>
          <w:p w14:paraId="70561C5B" w14:textId="77777777" w:rsidR="00BB01A3" w:rsidRDefault="00BB01A3" w:rsidP="00BB01A3">
            <w:pPr>
              <w:rPr>
                <w:rFonts w:ascii="Arial" w:hAnsi="Arial" w:cs="Arial"/>
                <w:bCs/>
                <w:sz w:val="22"/>
                <w:szCs w:val="22"/>
              </w:rPr>
            </w:pPr>
            <w:r>
              <w:rPr>
                <w:rFonts w:ascii="Arial" w:hAnsi="Arial" w:cs="Arial"/>
                <w:bCs/>
                <w:sz w:val="22"/>
                <w:szCs w:val="22"/>
              </w:rPr>
              <w:t>10. Odločitve o dolgoročnih naložbah</w:t>
            </w:r>
          </w:p>
          <w:p w14:paraId="328AC3B9" w14:textId="77777777" w:rsidR="00BB01A3" w:rsidRDefault="00BB01A3" w:rsidP="00BB01A3">
            <w:pPr>
              <w:rPr>
                <w:rFonts w:ascii="Arial" w:hAnsi="Arial" w:cs="Arial"/>
                <w:sz w:val="22"/>
                <w:szCs w:val="22"/>
              </w:rPr>
            </w:pPr>
            <w:r>
              <w:rPr>
                <w:rFonts w:ascii="Arial" w:hAnsi="Arial" w:cs="Arial"/>
                <w:bCs/>
                <w:sz w:val="22"/>
                <w:szCs w:val="22"/>
              </w:rPr>
              <w:t xml:space="preserve">10.1. </w:t>
            </w:r>
            <w:r w:rsidRPr="00827E5B">
              <w:rPr>
                <w:rFonts w:ascii="Arial" w:hAnsi="Arial" w:cs="Arial"/>
                <w:sz w:val="22"/>
                <w:szCs w:val="22"/>
              </w:rPr>
              <w:t>Strošek kapitala in struktura kapitala</w:t>
            </w:r>
          </w:p>
          <w:p w14:paraId="10836302" w14:textId="77777777" w:rsidR="00BB01A3" w:rsidRDefault="00BB01A3" w:rsidP="00BB01A3">
            <w:pPr>
              <w:rPr>
                <w:rFonts w:ascii="Arial" w:hAnsi="Arial" w:cs="Arial"/>
                <w:sz w:val="22"/>
                <w:szCs w:val="22"/>
              </w:rPr>
            </w:pPr>
            <w:r>
              <w:rPr>
                <w:rFonts w:ascii="Arial" w:hAnsi="Arial" w:cs="Arial"/>
                <w:sz w:val="22"/>
                <w:szCs w:val="22"/>
              </w:rPr>
              <w:t xml:space="preserve">10.2. </w:t>
            </w:r>
            <w:r w:rsidRPr="00827E5B">
              <w:rPr>
                <w:rFonts w:ascii="Arial" w:hAnsi="Arial" w:cs="Arial"/>
                <w:sz w:val="22"/>
                <w:szCs w:val="22"/>
              </w:rPr>
              <w:t>Neto sedanja vrednost, notranja stopnja donosa</w:t>
            </w:r>
          </w:p>
          <w:p w14:paraId="1B79EC31" w14:textId="77777777" w:rsidR="00BB01A3" w:rsidRDefault="00BB01A3" w:rsidP="00BB01A3">
            <w:pPr>
              <w:rPr>
                <w:rFonts w:ascii="Arial" w:hAnsi="Arial" w:cs="Arial"/>
                <w:sz w:val="22"/>
                <w:szCs w:val="22"/>
              </w:rPr>
            </w:pPr>
            <w:r>
              <w:rPr>
                <w:rFonts w:ascii="Arial" w:hAnsi="Arial" w:cs="Arial"/>
                <w:sz w:val="22"/>
                <w:szCs w:val="22"/>
              </w:rPr>
              <w:t>10.3. Vrednotenje ekonomike projekta</w:t>
            </w:r>
          </w:p>
          <w:p w14:paraId="2F66CA93" w14:textId="77777777" w:rsidR="00BB01A3" w:rsidRDefault="00BB01A3" w:rsidP="00BB01A3">
            <w:pPr>
              <w:rPr>
                <w:rFonts w:ascii="Arial" w:hAnsi="Arial" w:cs="Arial"/>
                <w:sz w:val="22"/>
                <w:szCs w:val="22"/>
              </w:rPr>
            </w:pPr>
          </w:p>
          <w:p w14:paraId="15763AC7" w14:textId="77777777" w:rsidR="00BB01A3" w:rsidRDefault="00BB01A3" w:rsidP="00BB01A3">
            <w:pPr>
              <w:rPr>
                <w:rFonts w:ascii="Arial" w:hAnsi="Arial" w:cs="Arial"/>
                <w:bCs/>
                <w:sz w:val="22"/>
                <w:szCs w:val="22"/>
              </w:rPr>
            </w:pPr>
            <w:r>
              <w:rPr>
                <w:rFonts w:ascii="Arial" w:hAnsi="Arial" w:cs="Arial"/>
                <w:sz w:val="22"/>
                <w:szCs w:val="22"/>
              </w:rPr>
              <w:t>11. Ustanovitev podjetja</w:t>
            </w:r>
          </w:p>
          <w:p w14:paraId="73B9A1CE" w14:textId="77777777" w:rsidR="00BB01A3" w:rsidRPr="00827E5B" w:rsidRDefault="00BB01A3" w:rsidP="00BB01A3">
            <w:pPr>
              <w:rPr>
                <w:rFonts w:ascii="Arial" w:hAnsi="Arial" w:cs="Arial"/>
                <w:bCs/>
                <w:sz w:val="22"/>
                <w:szCs w:val="22"/>
              </w:rPr>
            </w:pPr>
          </w:p>
          <w:p w14:paraId="338160E9" w14:textId="77777777" w:rsidR="00BB01A3" w:rsidRPr="00827E5B" w:rsidRDefault="00BB01A3" w:rsidP="00BB01A3">
            <w:pPr>
              <w:rPr>
                <w:rFonts w:ascii="Arial" w:hAnsi="Arial" w:cs="Arial"/>
                <w:b/>
                <w:bCs/>
                <w:sz w:val="22"/>
                <w:szCs w:val="22"/>
              </w:rPr>
            </w:pPr>
            <w:r w:rsidRPr="00827E5B">
              <w:rPr>
                <w:rFonts w:ascii="Arial" w:hAnsi="Arial" w:cs="Arial"/>
                <w:b/>
                <w:bCs/>
                <w:sz w:val="22"/>
                <w:szCs w:val="22"/>
              </w:rPr>
              <w:t xml:space="preserve">Drugi del: </w:t>
            </w:r>
          </w:p>
          <w:p w14:paraId="056F94E7" w14:textId="77777777" w:rsidR="00BB01A3" w:rsidRPr="00827E5B" w:rsidRDefault="00BB01A3" w:rsidP="00BB01A3">
            <w:pPr>
              <w:rPr>
                <w:rFonts w:ascii="Arial" w:hAnsi="Arial" w:cs="Arial"/>
                <w:b/>
                <w:bCs/>
                <w:sz w:val="22"/>
                <w:szCs w:val="22"/>
              </w:rPr>
            </w:pPr>
            <w:r>
              <w:rPr>
                <w:rFonts w:ascii="Arial" w:hAnsi="Arial" w:cs="Arial"/>
                <w:b/>
                <w:bCs/>
                <w:sz w:val="22"/>
                <w:szCs w:val="22"/>
              </w:rPr>
              <w:t>Javne finance</w:t>
            </w:r>
          </w:p>
          <w:p w14:paraId="24B0159F" w14:textId="77777777" w:rsidR="00BB01A3" w:rsidRPr="00827E5B" w:rsidRDefault="00BB01A3" w:rsidP="00BB01A3">
            <w:pPr>
              <w:rPr>
                <w:rFonts w:ascii="Arial" w:hAnsi="Arial" w:cs="Arial"/>
                <w:bCs/>
                <w:sz w:val="22"/>
                <w:szCs w:val="22"/>
              </w:rPr>
            </w:pPr>
            <w:r w:rsidRPr="00827E5B">
              <w:rPr>
                <w:rFonts w:ascii="Arial" w:hAnsi="Arial" w:cs="Arial"/>
                <w:bCs/>
                <w:sz w:val="22"/>
                <w:szCs w:val="22"/>
              </w:rPr>
              <w:t xml:space="preserve"> </w:t>
            </w:r>
          </w:p>
          <w:p w14:paraId="123A34FA" w14:textId="77777777" w:rsidR="00BB01A3" w:rsidRPr="00827E5B" w:rsidRDefault="00BB01A3" w:rsidP="00BB01A3">
            <w:pPr>
              <w:rPr>
                <w:rFonts w:ascii="Arial" w:hAnsi="Arial" w:cs="Arial"/>
                <w:bCs/>
                <w:sz w:val="22"/>
                <w:szCs w:val="22"/>
              </w:rPr>
            </w:pPr>
            <w:r>
              <w:rPr>
                <w:rFonts w:ascii="Arial" w:hAnsi="Arial" w:cs="Arial"/>
                <w:bCs/>
                <w:sz w:val="22"/>
                <w:szCs w:val="22"/>
              </w:rPr>
              <w:t>1</w:t>
            </w:r>
            <w:r w:rsidRPr="00827E5B">
              <w:rPr>
                <w:rFonts w:ascii="Arial" w:hAnsi="Arial" w:cs="Arial"/>
                <w:bCs/>
                <w:sz w:val="22"/>
                <w:szCs w:val="22"/>
              </w:rPr>
              <w:t xml:space="preserve">. Uvod v </w:t>
            </w:r>
            <w:r>
              <w:rPr>
                <w:rFonts w:ascii="Arial" w:hAnsi="Arial" w:cs="Arial"/>
                <w:bCs/>
                <w:sz w:val="22"/>
                <w:szCs w:val="22"/>
              </w:rPr>
              <w:t>davke in prispevke</w:t>
            </w:r>
          </w:p>
          <w:p w14:paraId="5E0F27D8" w14:textId="77777777" w:rsidR="00BB01A3" w:rsidRPr="00827E5B" w:rsidRDefault="00BB01A3" w:rsidP="00BB01A3">
            <w:pPr>
              <w:rPr>
                <w:rFonts w:ascii="Arial" w:hAnsi="Arial" w:cs="Arial"/>
                <w:sz w:val="22"/>
                <w:szCs w:val="22"/>
              </w:rPr>
            </w:pPr>
            <w:r>
              <w:rPr>
                <w:rFonts w:ascii="Arial" w:hAnsi="Arial" w:cs="Arial"/>
                <w:sz w:val="22"/>
                <w:szCs w:val="22"/>
              </w:rPr>
              <w:t>1</w:t>
            </w:r>
            <w:r w:rsidRPr="00827E5B">
              <w:rPr>
                <w:rFonts w:ascii="Arial" w:hAnsi="Arial" w:cs="Arial"/>
                <w:sz w:val="22"/>
                <w:szCs w:val="22"/>
              </w:rPr>
              <w:t>.</w:t>
            </w:r>
            <w:r>
              <w:rPr>
                <w:rFonts w:ascii="Arial" w:hAnsi="Arial" w:cs="Arial"/>
                <w:sz w:val="22"/>
                <w:szCs w:val="22"/>
              </w:rPr>
              <w:t>1</w:t>
            </w:r>
            <w:r w:rsidRPr="00827E5B">
              <w:rPr>
                <w:rFonts w:ascii="Arial" w:hAnsi="Arial" w:cs="Arial"/>
                <w:sz w:val="22"/>
                <w:szCs w:val="22"/>
              </w:rPr>
              <w:t>. Osnovni davčni pojmi in vrste davkov</w:t>
            </w:r>
          </w:p>
          <w:p w14:paraId="06787F2F" w14:textId="77777777" w:rsidR="00BB01A3" w:rsidRPr="00827E5B" w:rsidRDefault="00BB01A3" w:rsidP="00BB01A3">
            <w:pPr>
              <w:rPr>
                <w:rFonts w:ascii="Arial" w:hAnsi="Arial" w:cs="Arial"/>
                <w:bCs/>
                <w:sz w:val="22"/>
                <w:szCs w:val="22"/>
              </w:rPr>
            </w:pPr>
            <w:r>
              <w:rPr>
                <w:rFonts w:ascii="Arial" w:hAnsi="Arial" w:cs="Arial"/>
                <w:bCs/>
                <w:sz w:val="22"/>
                <w:szCs w:val="22"/>
              </w:rPr>
              <w:t>2</w:t>
            </w:r>
            <w:r w:rsidRPr="00827E5B">
              <w:rPr>
                <w:rFonts w:ascii="Arial" w:hAnsi="Arial" w:cs="Arial"/>
                <w:bCs/>
                <w:sz w:val="22"/>
                <w:szCs w:val="22"/>
              </w:rPr>
              <w:t>. Davki in socialni prispevki v Sloveniji</w:t>
            </w:r>
          </w:p>
          <w:p w14:paraId="57B3EF43" w14:textId="77777777" w:rsidR="00BB01A3" w:rsidRPr="00827E5B" w:rsidRDefault="00BB01A3" w:rsidP="00BB01A3">
            <w:pPr>
              <w:rPr>
                <w:rFonts w:ascii="Arial" w:hAnsi="Arial" w:cs="Arial"/>
                <w:sz w:val="22"/>
                <w:szCs w:val="22"/>
              </w:rPr>
            </w:pPr>
            <w:r>
              <w:rPr>
                <w:rFonts w:ascii="Arial" w:hAnsi="Arial" w:cs="Arial"/>
                <w:sz w:val="22"/>
                <w:szCs w:val="22"/>
              </w:rPr>
              <w:t>2</w:t>
            </w:r>
            <w:r w:rsidRPr="00827E5B">
              <w:rPr>
                <w:rFonts w:ascii="Arial" w:hAnsi="Arial" w:cs="Arial"/>
                <w:sz w:val="22"/>
                <w:szCs w:val="22"/>
              </w:rPr>
              <w:t>.1. Dohodnina, socialni prispevki in stroški dela</w:t>
            </w:r>
          </w:p>
          <w:p w14:paraId="2CEEB83B" w14:textId="77777777" w:rsidR="00BB01A3" w:rsidRPr="00827E5B" w:rsidRDefault="00BB01A3" w:rsidP="00BB01A3">
            <w:pPr>
              <w:rPr>
                <w:rFonts w:ascii="Arial" w:hAnsi="Arial" w:cs="Arial"/>
                <w:sz w:val="22"/>
                <w:szCs w:val="22"/>
              </w:rPr>
            </w:pPr>
            <w:r>
              <w:rPr>
                <w:rFonts w:ascii="Arial" w:hAnsi="Arial" w:cs="Arial"/>
                <w:sz w:val="22"/>
                <w:szCs w:val="22"/>
              </w:rPr>
              <w:t>2</w:t>
            </w:r>
            <w:r w:rsidRPr="00827E5B">
              <w:rPr>
                <w:rFonts w:ascii="Arial" w:hAnsi="Arial" w:cs="Arial"/>
                <w:sz w:val="22"/>
                <w:szCs w:val="22"/>
              </w:rPr>
              <w:t>.2. Davek od dohodka pravnih oseb</w:t>
            </w:r>
          </w:p>
          <w:p w14:paraId="5D1E6F92" w14:textId="77777777" w:rsidR="00BB01A3" w:rsidRPr="00827E5B" w:rsidRDefault="00BB01A3" w:rsidP="00BB01A3">
            <w:pPr>
              <w:rPr>
                <w:rFonts w:ascii="Arial" w:hAnsi="Arial" w:cs="Arial"/>
                <w:sz w:val="22"/>
                <w:szCs w:val="22"/>
              </w:rPr>
            </w:pPr>
            <w:r>
              <w:rPr>
                <w:rFonts w:ascii="Arial" w:hAnsi="Arial" w:cs="Arial"/>
                <w:sz w:val="22"/>
                <w:szCs w:val="22"/>
              </w:rPr>
              <w:t>2</w:t>
            </w:r>
            <w:r w:rsidRPr="00827E5B">
              <w:rPr>
                <w:rFonts w:ascii="Arial" w:hAnsi="Arial" w:cs="Arial"/>
                <w:sz w:val="22"/>
                <w:szCs w:val="22"/>
              </w:rPr>
              <w:t>.3. DDV in trošarine</w:t>
            </w:r>
          </w:p>
          <w:p w14:paraId="6FE03AC7" w14:textId="77777777" w:rsidR="00BB490A" w:rsidRPr="00827E5B" w:rsidRDefault="00BB490A" w:rsidP="00682F62">
            <w:pPr>
              <w:rPr>
                <w:rFonts w:ascii="Arial" w:hAnsi="Arial" w:cs="Arial"/>
                <w:sz w:val="22"/>
                <w:szCs w:val="22"/>
              </w:rPr>
            </w:pPr>
          </w:p>
          <w:p w14:paraId="06C2A4A2" w14:textId="77777777" w:rsidR="00D91581" w:rsidRPr="00827E5B" w:rsidRDefault="00D91581" w:rsidP="002C52D0">
            <w:pPr>
              <w:rPr>
                <w:rFonts w:ascii="Arial" w:hAnsi="Arial" w:cs="Arial"/>
                <w:sz w:val="22"/>
                <w:szCs w:val="22"/>
              </w:rPr>
            </w:pPr>
          </w:p>
        </w:tc>
        <w:tc>
          <w:tcPr>
            <w:tcW w:w="152" w:type="dxa"/>
            <w:gridSpan w:val="2"/>
            <w:tcBorders>
              <w:top w:val="nil"/>
              <w:left w:val="single" w:sz="4" w:space="0" w:color="auto"/>
              <w:bottom w:val="nil"/>
              <w:right w:val="single" w:sz="4" w:space="0" w:color="auto"/>
            </w:tcBorders>
          </w:tcPr>
          <w:p w14:paraId="7432887B" w14:textId="77777777" w:rsidR="00D91581" w:rsidRPr="00827E5B" w:rsidRDefault="00D91581" w:rsidP="009D7A57">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330ACBAB" w14:textId="77777777" w:rsidR="00BB01A3" w:rsidRPr="002E67ED" w:rsidRDefault="00BB01A3" w:rsidP="00BB01A3">
            <w:pPr>
              <w:rPr>
                <w:rFonts w:ascii="Arial" w:hAnsi="Arial" w:cs="Arial"/>
                <w:b/>
                <w:sz w:val="22"/>
                <w:szCs w:val="22"/>
                <w:lang w:val="en-US"/>
              </w:rPr>
            </w:pPr>
            <w:r w:rsidRPr="002E67ED">
              <w:rPr>
                <w:rFonts w:ascii="Arial" w:hAnsi="Arial" w:cs="Arial"/>
                <w:b/>
                <w:sz w:val="22"/>
                <w:szCs w:val="22"/>
                <w:lang w:val="en-US"/>
              </w:rPr>
              <w:t>First part: Corporate Finance</w:t>
            </w:r>
          </w:p>
          <w:p w14:paraId="40343A4F" w14:textId="77777777" w:rsidR="00BB01A3" w:rsidRPr="002E67ED" w:rsidRDefault="00BB01A3" w:rsidP="00BB01A3">
            <w:pPr>
              <w:rPr>
                <w:rFonts w:ascii="Arial" w:hAnsi="Arial" w:cs="Arial"/>
                <w:sz w:val="22"/>
                <w:szCs w:val="22"/>
                <w:lang w:val="en-US"/>
              </w:rPr>
            </w:pPr>
          </w:p>
          <w:p w14:paraId="2EADC4B6" w14:textId="77777777" w:rsidR="00BB01A3" w:rsidRPr="002E67ED" w:rsidRDefault="00BB01A3" w:rsidP="00BB01A3">
            <w:pPr>
              <w:rPr>
                <w:rFonts w:ascii="Arial" w:hAnsi="Arial" w:cs="Arial"/>
                <w:sz w:val="22"/>
                <w:szCs w:val="22"/>
                <w:lang w:val="en-US"/>
              </w:rPr>
            </w:pPr>
            <w:r w:rsidRPr="002E67ED">
              <w:rPr>
                <w:rFonts w:ascii="Arial" w:hAnsi="Arial" w:cs="Arial"/>
                <w:sz w:val="22"/>
                <w:szCs w:val="22"/>
                <w:lang w:val="en-US"/>
              </w:rPr>
              <w:t>1. The subject of corporate finance</w:t>
            </w:r>
            <w:r>
              <w:rPr>
                <w:rFonts w:ascii="Arial" w:hAnsi="Arial" w:cs="Arial"/>
                <w:sz w:val="22"/>
                <w:szCs w:val="22"/>
                <w:lang w:val="en-US"/>
              </w:rPr>
              <w:t xml:space="preserve"> and the financial environment of the firm</w:t>
            </w:r>
          </w:p>
          <w:p w14:paraId="5B60560E" w14:textId="77777777" w:rsidR="00BB01A3" w:rsidRPr="002E67ED" w:rsidRDefault="00BB01A3" w:rsidP="00BB01A3">
            <w:pPr>
              <w:rPr>
                <w:rFonts w:ascii="Arial" w:hAnsi="Arial" w:cs="Arial"/>
                <w:sz w:val="22"/>
                <w:szCs w:val="22"/>
                <w:lang w:val="en-US"/>
              </w:rPr>
            </w:pPr>
          </w:p>
          <w:p w14:paraId="19D22C0F" w14:textId="77777777" w:rsidR="00BB01A3" w:rsidRDefault="00BB01A3" w:rsidP="00BB01A3">
            <w:pPr>
              <w:rPr>
                <w:rFonts w:ascii="Arial" w:hAnsi="Arial" w:cs="Arial"/>
                <w:sz w:val="22"/>
                <w:szCs w:val="22"/>
                <w:lang w:val="en-US"/>
              </w:rPr>
            </w:pPr>
            <w:r w:rsidRPr="002E67ED">
              <w:rPr>
                <w:rFonts w:ascii="Arial" w:hAnsi="Arial" w:cs="Arial"/>
                <w:sz w:val="22"/>
                <w:szCs w:val="22"/>
                <w:lang w:val="en-US"/>
              </w:rPr>
              <w:t xml:space="preserve">2. </w:t>
            </w:r>
            <w:r>
              <w:rPr>
                <w:rFonts w:ascii="Arial" w:hAnsi="Arial" w:cs="Arial"/>
                <w:sz w:val="22"/>
                <w:szCs w:val="22"/>
                <w:lang w:val="en-US"/>
              </w:rPr>
              <w:t>Slovenian legal framework of financial reporting</w:t>
            </w:r>
          </w:p>
          <w:p w14:paraId="2EF0EE2D" w14:textId="77777777" w:rsidR="00BB01A3" w:rsidRPr="002E67ED" w:rsidRDefault="00BB01A3" w:rsidP="00BB01A3">
            <w:pPr>
              <w:rPr>
                <w:rFonts w:ascii="Arial" w:hAnsi="Arial" w:cs="Arial"/>
                <w:sz w:val="22"/>
                <w:szCs w:val="22"/>
                <w:lang w:val="en-US"/>
              </w:rPr>
            </w:pPr>
          </w:p>
          <w:p w14:paraId="6BEE0D0F" w14:textId="77777777" w:rsidR="00BB01A3" w:rsidRDefault="00BB01A3" w:rsidP="00BB01A3">
            <w:pPr>
              <w:rPr>
                <w:rFonts w:ascii="Arial" w:hAnsi="Arial" w:cs="Arial"/>
                <w:sz w:val="22"/>
                <w:szCs w:val="22"/>
                <w:lang w:val="en-US"/>
              </w:rPr>
            </w:pPr>
            <w:r>
              <w:rPr>
                <w:rFonts w:ascii="Arial" w:hAnsi="Arial" w:cs="Arial"/>
                <w:sz w:val="22"/>
                <w:szCs w:val="22"/>
                <w:lang w:val="en-US"/>
              </w:rPr>
              <w:t xml:space="preserve">3. </w:t>
            </w:r>
            <w:r w:rsidRPr="002E67ED">
              <w:rPr>
                <w:rFonts w:ascii="Arial" w:hAnsi="Arial" w:cs="Arial"/>
                <w:sz w:val="22"/>
                <w:szCs w:val="22"/>
                <w:lang w:val="en-US"/>
              </w:rPr>
              <w:t xml:space="preserve"> </w:t>
            </w:r>
            <w:r>
              <w:rPr>
                <w:rFonts w:ascii="Arial" w:hAnsi="Arial" w:cs="Arial"/>
                <w:sz w:val="22"/>
                <w:szCs w:val="22"/>
                <w:lang w:val="en-US"/>
              </w:rPr>
              <w:t>Content of fundamental financial statements</w:t>
            </w:r>
          </w:p>
          <w:p w14:paraId="2677FB0D" w14:textId="77777777" w:rsidR="00BB01A3" w:rsidRDefault="00BB01A3" w:rsidP="00BB01A3">
            <w:pPr>
              <w:rPr>
                <w:rFonts w:ascii="Arial" w:hAnsi="Arial" w:cs="Arial"/>
                <w:sz w:val="22"/>
                <w:szCs w:val="22"/>
                <w:lang w:val="en-US"/>
              </w:rPr>
            </w:pPr>
            <w:r>
              <w:rPr>
                <w:rFonts w:ascii="Arial" w:hAnsi="Arial" w:cs="Arial"/>
                <w:sz w:val="22"/>
                <w:szCs w:val="22"/>
                <w:lang w:val="en-US"/>
              </w:rPr>
              <w:t xml:space="preserve">3.1. </w:t>
            </w:r>
            <w:r w:rsidRPr="002E67ED">
              <w:rPr>
                <w:rFonts w:ascii="Arial" w:hAnsi="Arial" w:cs="Arial"/>
                <w:sz w:val="22"/>
                <w:szCs w:val="22"/>
                <w:lang w:val="en-US"/>
              </w:rPr>
              <w:t>Balance sheet</w:t>
            </w:r>
          </w:p>
          <w:p w14:paraId="13F6146A" w14:textId="77777777" w:rsidR="00BB01A3" w:rsidRDefault="00BB01A3" w:rsidP="00BB01A3">
            <w:pPr>
              <w:rPr>
                <w:rFonts w:ascii="Arial" w:hAnsi="Arial" w:cs="Arial"/>
                <w:sz w:val="22"/>
                <w:szCs w:val="22"/>
                <w:lang w:val="en-US"/>
              </w:rPr>
            </w:pPr>
            <w:r>
              <w:rPr>
                <w:rFonts w:ascii="Arial" w:hAnsi="Arial" w:cs="Arial"/>
                <w:sz w:val="22"/>
                <w:szCs w:val="22"/>
                <w:lang w:val="en-US"/>
              </w:rPr>
              <w:t>3.2. I</w:t>
            </w:r>
            <w:r w:rsidRPr="002E67ED">
              <w:rPr>
                <w:rFonts w:ascii="Arial" w:hAnsi="Arial" w:cs="Arial"/>
                <w:sz w:val="22"/>
                <w:szCs w:val="22"/>
                <w:lang w:val="en-US"/>
              </w:rPr>
              <w:t>ncome statements</w:t>
            </w:r>
          </w:p>
          <w:p w14:paraId="6279E179" w14:textId="77777777" w:rsidR="00BB01A3" w:rsidRDefault="00BB01A3" w:rsidP="00BB01A3">
            <w:pPr>
              <w:rPr>
                <w:rFonts w:ascii="Arial" w:hAnsi="Arial" w:cs="Arial"/>
                <w:sz w:val="22"/>
                <w:szCs w:val="22"/>
                <w:lang w:val="en-US"/>
              </w:rPr>
            </w:pPr>
            <w:r>
              <w:rPr>
                <w:rFonts w:ascii="Arial" w:hAnsi="Arial" w:cs="Arial"/>
                <w:sz w:val="22"/>
                <w:szCs w:val="22"/>
                <w:lang w:val="en-US"/>
              </w:rPr>
              <w:t>3.3. Cash flow statement</w:t>
            </w:r>
          </w:p>
          <w:p w14:paraId="78CBDD48" w14:textId="77777777" w:rsidR="00BB01A3" w:rsidRDefault="00BB01A3" w:rsidP="00BB01A3">
            <w:pPr>
              <w:rPr>
                <w:rFonts w:ascii="Arial" w:hAnsi="Arial" w:cs="Arial"/>
                <w:sz w:val="22"/>
                <w:szCs w:val="22"/>
                <w:lang w:val="en-US"/>
              </w:rPr>
            </w:pPr>
          </w:p>
          <w:p w14:paraId="3FF51CCD" w14:textId="77777777" w:rsidR="00BB01A3" w:rsidRDefault="00BB01A3" w:rsidP="00BB01A3">
            <w:pPr>
              <w:rPr>
                <w:rFonts w:ascii="Arial" w:hAnsi="Arial" w:cs="Arial"/>
                <w:sz w:val="22"/>
                <w:szCs w:val="22"/>
                <w:lang w:val="en-US"/>
              </w:rPr>
            </w:pPr>
            <w:r>
              <w:rPr>
                <w:rFonts w:ascii="Arial" w:hAnsi="Arial" w:cs="Arial"/>
                <w:sz w:val="22"/>
                <w:szCs w:val="22"/>
                <w:lang w:val="en-US"/>
              </w:rPr>
              <w:t>4. The effect of most common business events on company’s net income, net cash flow and financial position.</w:t>
            </w:r>
          </w:p>
          <w:p w14:paraId="395EB1E0" w14:textId="77777777" w:rsidR="00BB01A3" w:rsidRDefault="00BB01A3" w:rsidP="00BB01A3">
            <w:pPr>
              <w:rPr>
                <w:rFonts w:ascii="Arial" w:hAnsi="Arial" w:cs="Arial"/>
                <w:sz w:val="22"/>
                <w:szCs w:val="22"/>
                <w:lang w:val="en-US"/>
              </w:rPr>
            </w:pPr>
          </w:p>
          <w:p w14:paraId="00DAAA35" w14:textId="77777777" w:rsidR="00BB01A3" w:rsidRDefault="00BB01A3" w:rsidP="00BB01A3">
            <w:pPr>
              <w:rPr>
                <w:rFonts w:ascii="Arial" w:hAnsi="Arial" w:cs="Arial"/>
                <w:sz w:val="22"/>
                <w:szCs w:val="22"/>
                <w:lang w:val="en-US"/>
              </w:rPr>
            </w:pPr>
            <w:r>
              <w:rPr>
                <w:rFonts w:ascii="Arial" w:hAnsi="Arial" w:cs="Arial"/>
                <w:sz w:val="22"/>
                <w:szCs w:val="22"/>
                <w:lang w:val="en-US"/>
              </w:rPr>
              <w:t>5. Cost’s classification</w:t>
            </w:r>
          </w:p>
          <w:p w14:paraId="5FC05FD6" w14:textId="77777777" w:rsidR="00BB01A3" w:rsidRDefault="00BB01A3" w:rsidP="00BB01A3">
            <w:pPr>
              <w:rPr>
                <w:rFonts w:ascii="Verdana" w:hAnsi="Verdana"/>
                <w:color w:val="000000"/>
                <w:sz w:val="18"/>
                <w:szCs w:val="18"/>
              </w:rPr>
            </w:pPr>
          </w:p>
          <w:p w14:paraId="72297180" w14:textId="77777777" w:rsidR="00BB01A3" w:rsidRPr="002E67ED" w:rsidRDefault="00BB01A3" w:rsidP="00BB01A3">
            <w:pPr>
              <w:rPr>
                <w:rFonts w:ascii="Arial" w:hAnsi="Arial" w:cs="Arial"/>
                <w:sz w:val="22"/>
                <w:szCs w:val="22"/>
                <w:lang w:val="en-US"/>
              </w:rPr>
            </w:pPr>
            <w:r>
              <w:rPr>
                <w:rFonts w:ascii="Verdana" w:hAnsi="Verdana"/>
                <w:color w:val="000000"/>
                <w:sz w:val="18"/>
                <w:szCs w:val="18"/>
              </w:rPr>
              <w:t xml:space="preserve">6. </w:t>
            </w:r>
            <w:r>
              <w:rPr>
                <w:rFonts w:ascii="Arial" w:hAnsi="Arial" w:cs="Arial"/>
                <w:sz w:val="22"/>
                <w:szCs w:val="22"/>
                <w:lang w:val="en-US"/>
              </w:rPr>
              <w:t>F</w:t>
            </w:r>
            <w:r w:rsidRPr="002E67ED">
              <w:rPr>
                <w:rFonts w:ascii="Arial" w:hAnsi="Arial" w:cs="Arial"/>
                <w:sz w:val="22"/>
                <w:szCs w:val="22"/>
                <w:lang w:val="en-US"/>
              </w:rPr>
              <w:t>inancial statements</w:t>
            </w:r>
            <w:r>
              <w:rPr>
                <w:rFonts w:ascii="Arial" w:hAnsi="Arial" w:cs="Arial"/>
                <w:sz w:val="22"/>
                <w:szCs w:val="22"/>
                <w:lang w:val="en-US"/>
              </w:rPr>
              <w:t>’ analysis</w:t>
            </w:r>
          </w:p>
          <w:p w14:paraId="3AF44239" w14:textId="77777777" w:rsidR="00BB01A3" w:rsidRPr="002E67ED" w:rsidRDefault="00BB01A3" w:rsidP="00BB01A3">
            <w:pPr>
              <w:rPr>
                <w:rFonts w:ascii="Arial" w:hAnsi="Arial" w:cs="Arial"/>
                <w:sz w:val="22"/>
                <w:szCs w:val="22"/>
                <w:lang w:val="en-US"/>
              </w:rPr>
            </w:pPr>
          </w:p>
          <w:p w14:paraId="479D4ED0" w14:textId="77777777" w:rsidR="00BB01A3" w:rsidRDefault="00BB01A3" w:rsidP="00BB01A3">
            <w:pPr>
              <w:rPr>
                <w:rFonts w:ascii="Arial" w:hAnsi="Arial" w:cs="Arial"/>
                <w:sz w:val="22"/>
                <w:szCs w:val="22"/>
                <w:lang w:val="en-US"/>
              </w:rPr>
            </w:pPr>
            <w:r>
              <w:rPr>
                <w:rFonts w:ascii="Arial" w:hAnsi="Arial" w:cs="Arial"/>
                <w:sz w:val="22"/>
                <w:szCs w:val="22"/>
                <w:lang w:val="en-US"/>
              </w:rPr>
              <w:t>7. The time value of money</w:t>
            </w:r>
          </w:p>
          <w:p w14:paraId="78E54DB0" w14:textId="77777777" w:rsidR="00BB01A3" w:rsidRDefault="00BB01A3" w:rsidP="00BB01A3">
            <w:pPr>
              <w:rPr>
                <w:rFonts w:ascii="Arial" w:hAnsi="Arial" w:cs="Arial"/>
                <w:sz w:val="22"/>
                <w:szCs w:val="22"/>
                <w:lang w:val="en-US"/>
              </w:rPr>
            </w:pPr>
            <w:r>
              <w:rPr>
                <w:rFonts w:ascii="Arial" w:hAnsi="Arial" w:cs="Arial"/>
                <w:sz w:val="22"/>
                <w:szCs w:val="22"/>
                <w:lang w:val="en-US"/>
              </w:rPr>
              <w:t>7.1 Discounted cash flows and valuation</w:t>
            </w:r>
          </w:p>
          <w:p w14:paraId="0FE247C2" w14:textId="77777777" w:rsidR="00BB01A3" w:rsidRDefault="00BB01A3" w:rsidP="00BB01A3">
            <w:pPr>
              <w:rPr>
                <w:rFonts w:ascii="Arial" w:hAnsi="Arial" w:cs="Arial"/>
                <w:sz w:val="22"/>
                <w:szCs w:val="22"/>
                <w:lang w:val="en-US"/>
              </w:rPr>
            </w:pPr>
          </w:p>
          <w:p w14:paraId="76E7A9D3" w14:textId="77777777" w:rsidR="00BB01A3" w:rsidRDefault="00BB01A3" w:rsidP="00BB01A3">
            <w:pPr>
              <w:rPr>
                <w:rFonts w:ascii="Arial" w:hAnsi="Arial" w:cs="Arial"/>
                <w:sz w:val="22"/>
                <w:szCs w:val="22"/>
                <w:lang w:val="en-US"/>
              </w:rPr>
            </w:pPr>
            <w:r>
              <w:rPr>
                <w:rFonts w:ascii="Arial" w:hAnsi="Arial" w:cs="Arial"/>
                <w:sz w:val="22"/>
                <w:szCs w:val="22"/>
                <w:lang w:val="en-US"/>
              </w:rPr>
              <w:t>8. Risk and return</w:t>
            </w:r>
          </w:p>
          <w:p w14:paraId="306B0761" w14:textId="77777777" w:rsidR="00BB01A3" w:rsidRDefault="00BB01A3" w:rsidP="00BB01A3">
            <w:pPr>
              <w:rPr>
                <w:rFonts w:ascii="Arial" w:hAnsi="Arial" w:cs="Arial"/>
                <w:sz w:val="22"/>
                <w:szCs w:val="22"/>
                <w:lang w:val="en-US"/>
              </w:rPr>
            </w:pPr>
          </w:p>
          <w:p w14:paraId="1506D428" w14:textId="77777777" w:rsidR="00BB01A3" w:rsidRDefault="00BB01A3" w:rsidP="00BB01A3">
            <w:pPr>
              <w:rPr>
                <w:rFonts w:ascii="Arial" w:hAnsi="Arial" w:cs="Arial"/>
                <w:sz w:val="22"/>
                <w:szCs w:val="22"/>
                <w:lang w:val="en-US"/>
              </w:rPr>
            </w:pPr>
            <w:r>
              <w:rPr>
                <w:rFonts w:ascii="Arial" w:hAnsi="Arial" w:cs="Arial"/>
                <w:sz w:val="22"/>
                <w:szCs w:val="22"/>
                <w:lang w:val="en-US"/>
              </w:rPr>
              <w:t>9. Corporate financing</w:t>
            </w:r>
          </w:p>
          <w:p w14:paraId="4205B3AF" w14:textId="77777777" w:rsidR="00BB01A3" w:rsidRDefault="00BB01A3" w:rsidP="00BB01A3">
            <w:pPr>
              <w:rPr>
                <w:rFonts w:ascii="Arial" w:hAnsi="Arial" w:cs="Arial"/>
                <w:sz w:val="22"/>
                <w:szCs w:val="22"/>
                <w:lang w:val="en-US"/>
              </w:rPr>
            </w:pPr>
            <w:r>
              <w:rPr>
                <w:rFonts w:ascii="Arial" w:hAnsi="Arial" w:cs="Arial"/>
                <w:sz w:val="22"/>
                <w:szCs w:val="22"/>
                <w:lang w:val="en-US"/>
              </w:rPr>
              <w:t>9.1 Bond valuation</w:t>
            </w:r>
          </w:p>
          <w:p w14:paraId="6FCB2068" w14:textId="77777777" w:rsidR="00BB01A3" w:rsidRDefault="00BB01A3" w:rsidP="00BB01A3">
            <w:pPr>
              <w:rPr>
                <w:rFonts w:ascii="Arial" w:hAnsi="Arial" w:cs="Arial"/>
                <w:sz w:val="22"/>
                <w:szCs w:val="22"/>
                <w:lang w:val="en-US"/>
              </w:rPr>
            </w:pPr>
            <w:r>
              <w:rPr>
                <w:rFonts w:ascii="Arial" w:hAnsi="Arial" w:cs="Arial"/>
                <w:sz w:val="22"/>
                <w:szCs w:val="22"/>
                <w:lang w:val="en-US"/>
              </w:rPr>
              <w:t>9.2 Share valuation</w:t>
            </w:r>
          </w:p>
          <w:p w14:paraId="5EA71BD5" w14:textId="77777777" w:rsidR="00BB01A3" w:rsidRDefault="00BB01A3" w:rsidP="00BB01A3">
            <w:pPr>
              <w:rPr>
                <w:rFonts w:ascii="Arial" w:hAnsi="Arial" w:cs="Arial"/>
                <w:sz w:val="22"/>
                <w:szCs w:val="22"/>
                <w:lang w:val="en-US"/>
              </w:rPr>
            </w:pPr>
          </w:p>
          <w:p w14:paraId="4BE3A35A" w14:textId="77777777" w:rsidR="00BB01A3" w:rsidRDefault="00BB01A3" w:rsidP="00BB01A3">
            <w:pPr>
              <w:rPr>
                <w:rFonts w:ascii="Arial" w:hAnsi="Arial" w:cs="Arial"/>
                <w:sz w:val="22"/>
                <w:szCs w:val="22"/>
                <w:lang w:val="en-US"/>
              </w:rPr>
            </w:pPr>
            <w:r>
              <w:rPr>
                <w:rFonts w:ascii="Arial" w:hAnsi="Arial" w:cs="Arial"/>
                <w:sz w:val="22"/>
                <w:szCs w:val="22"/>
                <w:lang w:val="en-US"/>
              </w:rPr>
              <w:t xml:space="preserve">10. </w:t>
            </w:r>
            <w:r w:rsidRPr="00D600ED">
              <w:rPr>
                <w:rFonts w:ascii="Arial" w:hAnsi="Arial" w:cs="Arial"/>
                <w:sz w:val="22"/>
                <w:szCs w:val="22"/>
                <w:lang w:val="en-US"/>
              </w:rPr>
              <w:t>Decisions on long-term investments</w:t>
            </w:r>
          </w:p>
          <w:p w14:paraId="76FE9FE4" w14:textId="77777777" w:rsidR="00BB01A3" w:rsidRPr="002E67ED" w:rsidRDefault="00BB01A3" w:rsidP="00BB01A3">
            <w:pPr>
              <w:rPr>
                <w:rFonts w:ascii="Arial" w:hAnsi="Arial" w:cs="Arial"/>
                <w:sz w:val="22"/>
                <w:szCs w:val="22"/>
                <w:lang w:val="en-US"/>
              </w:rPr>
            </w:pPr>
            <w:r>
              <w:rPr>
                <w:rFonts w:ascii="Arial" w:hAnsi="Arial" w:cs="Arial"/>
                <w:sz w:val="22"/>
                <w:szCs w:val="22"/>
                <w:lang w:val="en-US"/>
              </w:rPr>
              <w:t>10</w:t>
            </w:r>
            <w:r w:rsidRPr="002E67ED">
              <w:rPr>
                <w:rFonts w:ascii="Arial" w:hAnsi="Arial" w:cs="Arial"/>
                <w:sz w:val="22"/>
                <w:szCs w:val="22"/>
                <w:lang w:val="en-US"/>
              </w:rPr>
              <w:t>.</w:t>
            </w:r>
            <w:r>
              <w:rPr>
                <w:rFonts w:ascii="Arial" w:hAnsi="Arial" w:cs="Arial"/>
                <w:sz w:val="22"/>
                <w:szCs w:val="22"/>
                <w:lang w:val="en-US"/>
              </w:rPr>
              <w:t>1</w:t>
            </w:r>
            <w:r w:rsidRPr="002E67ED">
              <w:rPr>
                <w:rFonts w:ascii="Arial" w:hAnsi="Arial" w:cs="Arial"/>
                <w:sz w:val="22"/>
                <w:szCs w:val="22"/>
                <w:lang w:val="en-US"/>
              </w:rPr>
              <w:t>. Cost of capital and capital structure</w:t>
            </w:r>
          </w:p>
          <w:p w14:paraId="2148D2C2" w14:textId="77777777" w:rsidR="00BB01A3" w:rsidRPr="002E67ED" w:rsidRDefault="00BB01A3" w:rsidP="00BB01A3">
            <w:pPr>
              <w:rPr>
                <w:rFonts w:ascii="Arial" w:hAnsi="Arial" w:cs="Arial"/>
                <w:sz w:val="22"/>
                <w:szCs w:val="22"/>
                <w:lang w:val="en-US"/>
              </w:rPr>
            </w:pPr>
            <w:r>
              <w:rPr>
                <w:rFonts w:ascii="Arial" w:hAnsi="Arial" w:cs="Arial"/>
                <w:sz w:val="22"/>
                <w:szCs w:val="22"/>
                <w:lang w:val="en-US"/>
              </w:rPr>
              <w:t>10</w:t>
            </w:r>
            <w:r w:rsidRPr="002E67ED">
              <w:rPr>
                <w:rFonts w:ascii="Arial" w:hAnsi="Arial" w:cs="Arial"/>
                <w:sz w:val="22"/>
                <w:szCs w:val="22"/>
                <w:lang w:val="en-US"/>
              </w:rPr>
              <w:t>.</w:t>
            </w:r>
            <w:r>
              <w:rPr>
                <w:rFonts w:ascii="Arial" w:hAnsi="Arial" w:cs="Arial"/>
                <w:sz w:val="22"/>
                <w:szCs w:val="22"/>
                <w:lang w:val="en-US"/>
              </w:rPr>
              <w:t>2</w:t>
            </w:r>
            <w:r w:rsidRPr="002E67ED">
              <w:rPr>
                <w:rFonts w:ascii="Arial" w:hAnsi="Arial" w:cs="Arial"/>
                <w:sz w:val="22"/>
                <w:szCs w:val="22"/>
                <w:lang w:val="en-US"/>
              </w:rPr>
              <w:t>. Net present value, internal rate of return</w:t>
            </w:r>
          </w:p>
          <w:p w14:paraId="01CA29BB" w14:textId="77777777" w:rsidR="00BB01A3" w:rsidRDefault="00BB01A3" w:rsidP="00BB01A3">
            <w:pPr>
              <w:rPr>
                <w:rFonts w:ascii="Arial" w:hAnsi="Arial" w:cs="Arial"/>
                <w:sz w:val="22"/>
                <w:szCs w:val="22"/>
                <w:lang w:val="en-US"/>
              </w:rPr>
            </w:pPr>
            <w:r>
              <w:rPr>
                <w:rFonts w:ascii="Arial" w:hAnsi="Arial" w:cs="Arial"/>
                <w:sz w:val="22"/>
                <w:szCs w:val="22"/>
                <w:lang w:val="en-US"/>
              </w:rPr>
              <w:t>10.3 Evaluating project economics</w:t>
            </w:r>
          </w:p>
          <w:p w14:paraId="43AFA8D3" w14:textId="77777777" w:rsidR="00BB01A3" w:rsidRDefault="00BB01A3" w:rsidP="00BB01A3">
            <w:pPr>
              <w:rPr>
                <w:rFonts w:ascii="Arial" w:hAnsi="Arial" w:cs="Arial"/>
                <w:sz w:val="22"/>
                <w:szCs w:val="22"/>
                <w:lang w:val="en-US"/>
              </w:rPr>
            </w:pPr>
          </w:p>
          <w:p w14:paraId="44EC81D8" w14:textId="77777777" w:rsidR="00BB01A3" w:rsidRDefault="00BB01A3" w:rsidP="00BB01A3">
            <w:pPr>
              <w:rPr>
                <w:rFonts w:ascii="Arial" w:hAnsi="Arial" w:cs="Arial"/>
                <w:sz w:val="22"/>
                <w:szCs w:val="22"/>
                <w:lang w:val="en-US"/>
              </w:rPr>
            </w:pPr>
            <w:r>
              <w:rPr>
                <w:rFonts w:ascii="Arial" w:hAnsi="Arial" w:cs="Arial"/>
                <w:sz w:val="22"/>
                <w:szCs w:val="22"/>
                <w:lang w:val="en-US"/>
              </w:rPr>
              <w:t>11. Business formation</w:t>
            </w:r>
          </w:p>
          <w:p w14:paraId="403E081F" w14:textId="77777777" w:rsidR="00BB01A3" w:rsidRDefault="00BB01A3" w:rsidP="00BB01A3">
            <w:pPr>
              <w:rPr>
                <w:rFonts w:ascii="Arial" w:hAnsi="Arial" w:cs="Arial"/>
                <w:sz w:val="22"/>
                <w:szCs w:val="22"/>
                <w:lang w:val="en-US"/>
              </w:rPr>
            </w:pPr>
          </w:p>
          <w:p w14:paraId="26CA6022" w14:textId="77777777" w:rsidR="00BB01A3" w:rsidRPr="00827E5B" w:rsidRDefault="00BB01A3" w:rsidP="00BB01A3">
            <w:pPr>
              <w:rPr>
                <w:rFonts w:ascii="Arial" w:hAnsi="Arial" w:cs="Arial"/>
                <w:b/>
                <w:sz w:val="22"/>
                <w:szCs w:val="22"/>
                <w:lang w:val="en-US"/>
              </w:rPr>
            </w:pPr>
            <w:r w:rsidRPr="00827E5B">
              <w:rPr>
                <w:rFonts w:ascii="Arial" w:hAnsi="Arial" w:cs="Arial"/>
                <w:b/>
                <w:sz w:val="22"/>
                <w:szCs w:val="22"/>
                <w:lang w:val="en-US"/>
              </w:rPr>
              <w:t xml:space="preserve">Second part: </w:t>
            </w:r>
          </w:p>
          <w:p w14:paraId="3CD6CE25" w14:textId="77777777" w:rsidR="00BB01A3" w:rsidRPr="007B30F2" w:rsidRDefault="00BB01A3" w:rsidP="00BB01A3">
            <w:pPr>
              <w:rPr>
                <w:rFonts w:ascii="Arial" w:hAnsi="Arial" w:cs="Arial"/>
                <w:sz w:val="22"/>
                <w:szCs w:val="22"/>
                <w:lang w:val="en-US"/>
              </w:rPr>
            </w:pPr>
            <w:r>
              <w:rPr>
                <w:rFonts w:ascii="Arial" w:hAnsi="Arial" w:cs="Arial"/>
                <w:b/>
                <w:sz w:val="22"/>
                <w:szCs w:val="22"/>
                <w:lang w:val="en-US"/>
              </w:rPr>
              <w:t>Public Finances</w:t>
            </w:r>
          </w:p>
          <w:p w14:paraId="17AF3A76" w14:textId="77777777" w:rsidR="00BB01A3" w:rsidRPr="007B30F2" w:rsidRDefault="00BB01A3" w:rsidP="00BB01A3">
            <w:pPr>
              <w:rPr>
                <w:rFonts w:ascii="Arial" w:hAnsi="Arial" w:cs="Arial"/>
                <w:sz w:val="22"/>
                <w:szCs w:val="22"/>
                <w:lang w:val="en-US"/>
              </w:rPr>
            </w:pPr>
          </w:p>
          <w:p w14:paraId="38626C40" w14:textId="77777777" w:rsidR="00BB01A3" w:rsidRPr="007B30F2" w:rsidRDefault="00BB01A3" w:rsidP="00BB01A3">
            <w:pPr>
              <w:rPr>
                <w:rFonts w:ascii="Arial" w:hAnsi="Arial" w:cs="Arial"/>
                <w:sz w:val="22"/>
                <w:szCs w:val="22"/>
                <w:lang w:val="en-US"/>
              </w:rPr>
            </w:pPr>
            <w:r w:rsidRPr="007B30F2">
              <w:rPr>
                <w:rFonts w:ascii="Arial" w:hAnsi="Arial" w:cs="Arial"/>
                <w:sz w:val="22"/>
                <w:szCs w:val="22"/>
                <w:lang w:val="en-US"/>
              </w:rPr>
              <w:t xml:space="preserve">1. Introduction to taxes and social contributions </w:t>
            </w:r>
          </w:p>
          <w:p w14:paraId="32DFB39C" w14:textId="77777777" w:rsidR="00BB01A3" w:rsidRPr="007B30F2" w:rsidRDefault="00BB01A3" w:rsidP="00BB01A3">
            <w:pPr>
              <w:rPr>
                <w:rFonts w:ascii="Arial" w:hAnsi="Arial" w:cs="Arial"/>
                <w:sz w:val="22"/>
                <w:szCs w:val="22"/>
                <w:lang w:val="en-US"/>
              </w:rPr>
            </w:pPr>
            <w:r w:rsidRPr="007B30F2">
              <w:rPr>
                <w:rFonts w:ascii="Arial" w:hAnsi="Arial" w:cs="Arial"/>
                <w:sz w:val="22"/>
                <w:szCs w:val="22"/>
                <w:lang w:val="en-US"/>
              </w:rPr>
              <w:t>1.</w:t>
            </w:r>
            <w:r>
              <w:rPr>
                <w:rFonts w:ascii="Arial" w:hAnsi="Arial" w:cs="Arial"/>
                <w:sz w:val="22"/>
                <w:szCs w:val="22"/>
                <w:lang w:val="en-US"/>
              </w:rPr>
              <w:t>1</w:t>
            </w:r>
            <w:r w:rsidRPr="007B30F2">
              <w:rPr>
                <w:rFonts w:ascii="Arial" w:hAnsi="Arial" w:cs="Arial"/>
                <w:sz w:val="22"/>
                <w:szCs w:val="22"/>
                <w:lang w:val="en-US"/>
              </w:rPr>
              <w:t>. Basic tax concepts and types of taxes</w:t>
            </w:r>
          </w:p>
          <w:p w14:paraId="4AFA31C7" w14:textId="77777777" w:rsidR="00BB01A3" w:rsidRPr="007B30F2" w:rsidRDefault="00BB01A3" w:rsidP="00BB01A3">
            <w:pPr>
              <w:rPr>
                <w:rFonts w:ascii="Arial" w:hAnsi="Arial" w:cs="Arial"/>
                <w:sz w:val="22"/>
                <w:szCs w:val="22"/>
                <w:lang w:val="en-US"/>
              </w:rPr>
            </w:pPr>
            <w:r w:rsidRPr="007B30F2">
              <w:rPr>
                <w:rFonts w:ascii="Arial" w:hAnsi="Arial" w:cs="Arial"/>
                <w:sz w:val="22"/>
                <w:szCs w:val="22"/>
                <w:lang w:val="en-US"/>
              </w:rPr>
              <w:t>2. Taxes and social contributions in Slovenia</w:t>
            </w:r>
          </w:p>
          <w:p w14:paraId="7B546B6B" w14:textId="77777777" w:rsidR="00BB01A3" w:rsidRPr="007B30F2" w:rsidRDefault="00BB01A3" w:rsidP="00BB01A3">
            <w:pPr>
              <w:rPr>
                <w:rFonts w:ascii="Arial" w:hAnsi="Arial" w:cs="Arial"/>
                <w:sz w:val="22"/>
                <w:szCs w:val="22"/>
                <w:lang w:val="en-US"/>
              </w:rPr>
            </w:pPr>
            <w:r w:rsidRPr="007B30F2">
              <w:rPr>
                <w:rFonts w:ascii="Arial" w:hAnsi="Arial" w:cs="Arial"/>
                <w:sz w:val="22"/>
                <w:szCs w:val="22"/>
                <w:lang w:val="en-US"/>
              </w:rPr>
              <w:t>2.1. Personal income tax, social contributions and labor costs</w:t>
            </w:r>
          </w:p>
          <w:p w14:paraId="70A9D6B0" w14:textId="77777777" w:rsidR="00BB01A3" w:rsidRPr="007B30F2" w:rsidRDefault="00BB01A3" w:rsidP="00BB01A3">
            <w:pPr>
              <w:rPr>
                <w:rFonts w:ascii="Arial" w:hAnsi="Arial" w:cs="Arial"/>
                <w:sz w:val="22"/>
                <w:szCs w:val="22"/>
                <w:lang w:val="en-US"/>
              </w:rPr>
            </w:pPr>
            <w:r w:rsidRPr="007B30F2">
              <w:rPr>
                <w:rFonts w:ascii="Arial" w:hAnsi="Arial" w:cs="Arial"/>
                <w:sz w:val="22"/>
                <w:szCs w:val="22"/>
                <w:lang w:val="en-US"/>
              </w:rPr>
              <w:t>2.2. Corporate income tax</w:t>
            </w:r>
          </w:p>
          <w:p w14:paraId="3E9E10A7" w14:textId="77777777" w:rsidR="00BB01A3" w:rsidRPr="00827E5B" w:rsidRDefault="00BB01A3" w:rsidP="00BB01A3">
            <w:pPr>
              <w:rPr>
                <w:rFonts w:ascii="Arial" w:hAnsi="Arial" w:cs="Arial"/>
                <w:sz w:val="22"/>
                <w:szCs w:val="22"/>
                <w:lang w:val="en-US"/>
              </w:rPr>
            </w:pPr>
            <w:r w:rsidRPr="007B30F2">
              <w:rPr>
                <w:rFonts w:ascii="Arial" w:hAnsi="Arial" w:cs="Arial"/>
                <w:sz w:val="22"/>
                <w:szCs w:val="22"/>
                <w:lang w:val="en-US"/>
              </w:rPr>
              <w:t>2.3. VAT and excise duty</w:t>
            </w:r>
          </w:p>
          <w:p w14:paraId="2A7CC0DE" w14:textId="77777777" w:rsidR="00BB01A3" w:rsidRPr="002E67ED" w:rsidRDefault="00BB01A3" w:rsidP="00BB490A">
            <w:pPr>
              <w:rPr>
                <w:rFonts w:ascii="Arial" w:hAnsi="Arial" w:cs="Arial"/>
                <w:b/>
                <w:sz w:val="22"/>
                <w:szCs w:val="22"/>
                <w:lang w:val="en-US"/>
              </w:rPr>
            </w:pPr>
          </w:p>
          <w:p w14:paraId="78FC3286" w14:textId="1D82FB9D" w:rsidR="00BB490A" w:rsidRPr="00827E5B" w:rsidRDefault="00BB490A" w:rsidP="00BB01A3">
            <w:pPr>
              <w:rPr>
                <w:rFonts w:ascii="Arial" w:hAnsi="Arial" w:cs="Arial"/>
                <w:sz w:val="22"/>
                <w:szCs w:val="22"/>
              </w:rPr>
            </w:pPr>
          </w:p>
        </w:tc>
      </w:tr>
    </w:tbl>
    <w:p w14:paraId="5AB3C5E2" w14:textId="1307DE7A" w:rsidR="007E52D4" w:rsidRDefault="007E52D4" w:rsidP="007E52D4">
      <w:pPr>
        <w:rPr>
          <w:rFonts w:ascii="Arial" w:hAnsi="Arial" w:cs="Arial"/>
          <w:sz w:val="22"/>
          <w:szCs w:val="22"/>
        </w:rPr>
      </w:pPr>
    </w:p>
    <w:p w14:paraId="2FEE9D00" w14:textId="7009E90E" w:rsidR="00496250" w:rsidRDefault="00496250" w:rsidP="007E52D4">
      <w:pPr>
        <w:rPr>
          <w:rFonts w:ascii="Arial" w:hAnsi="Arial" w:cs="Arial"/>
          <w:sz w:val="22"/>
          <w:szCs w:val="22"/>
        </w:rPr>
      </w:pPr>
    </w:p>
    <w:p w14:paraId="473EB90B" w14:textId="4C4DB7AF" w:rsidR="00496250" w:rsidRDefault="00496250" w:rsidP="007E52D4">
      <w:pPr>
        <w:rPr>
          <w:rFonts w:ascii="Arial" w:hAnsi="Arial" w:cs="Arial"/>
          <w:sz w:val="22"/>
          <w:szCs w:val="22"/>
        </w:rPr>
      </w:pPr>
    </w:p>
    <w:p w14:paraId="5C8C8280" w14:textId="15773EBF" w:rsidR="00496250" w:rsidRDefault="00496250" w:rsidP="007E52D4">
      <w:pPr>
        <w:rPr>
          <w:rFonts w:ascii="Arial" w:hAnsi="Arial" w:cs="Arial"/>
          <w:sz w:val="22"/>
          <w:szCs w:val="22"/>
        </w:rPr>
      </w:pPr>
    </w:p>
    <w:p w14:paraId="1AAEDB7D" w14:textId="4127036E" w:rsidR="00496250" w:rsidRDefault="00496250" w:rsidP="007E52D4">
      <w:pPr>
        <w:rPr>
          <w:rFonts w:ascii="Arial" w:hAnsi="Arial" w:cs="Arial"/>
          <w:sz w:val="22"/>
          <w:szCs w:val="22"/>
        </w:rPr>
      </w:pPr>
    </w:p>
    <w:p w14:paraId="10BB7592" w14:textId="029A1704" w:rsidR="00496250" w:rsidRDefault="00496250" w:rsidP="007E52D4">
      <w:pPr>
        <w:rPr>
          <w:rFonts w:ascii="Arial" w:hAnsi="Arial" w:cs="Arial"/>
          <w:sz w:val="22"/>
          <w:szCs w:val="22"/>
        </w:rPr>
      </w:pPr>
    </w:p>
    <w:p w14:paraId="6C71B809" w14:textId="77777777" w:rsidR="00496250" w:rsidRPr="00827E5B" w:rsidRDefault="00496250" w:rsidP="007E52D4">
      <w:pPr>
        <w:rPr>
          <w:rFonts w:ascii="Arial" w:hAnsi="Arial" w:cs="Arial"/>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7E52D4" w:rsidRPr="00827E5B" w14:paraId="57BE76A2" w14:textId="77777777" w:rsidTr="009D7A57">
        <w:tc>
          <w:tcPr>
            <w:tcW w:w="9695" w:type="dxa"/>
            <w:gridSpan w:val="6"/>
          </w:tcPr>
          <w:p w14:paraId="3DBB5BD3" w14:textId="77777777" w:rsidR="007E52D4" w:rsidRPr="00827E5B" w:rsidRDefault="007E52D4" w:rsidP="009D7A57">
            <w:pPr>
              <w:jc w:val="both"/>
              <w:rPr>
                <w:rFonts w:ascii="Arial" w:hAnsi="Arial" w:cs="Arial"/>
                <w:b/>
                <w:sz w:val="22"/>
                <w:szCs w:val="22"/>
              </w:rPr>
            </w:pPr>
            <w:r w:rsidRPr="00827E5B">
              <w:rPr>
                <w:rFonts w:ascii="Arial" w:hAnsi="Arial" w:cs="Arial"/>
                <w:sz w:val="22"/>
                <w:szCs w:val="22"/>
              </w:rPr>
              <w:br w:type="page"/>
            </w:r>
            <w:r w:rsidRPr="00827E5B">
              <w:rPr>
                <w:rFonts w:ascii="Arial" w:hAnsi="Arial" w:cs="Arial"/>
                <w:b/>
                <w:sz w:val="22"/>
                <w:szCs w:val="22"/>
              </w:rPr>
              <w:t>Temeljni literatura in viri / Readings:</w:t>
            </w:r>
          </w:p>
        </w:tc>
      </w:tr>
      <w:tr w:rsidR="007E52D4" w:rsidRPr="00827E5B" w14:paraId="2ABDC0CD" w14:textId="77777777" w:rsidTr="009D7A57">
        <w:trPr>
          <w:trHeight w:val="2074"/>
        </w:trPr>
        <w:tc>
          <w:tcPr>
            <w:tcW w:w="9695" w:type="dxa"/>
            <w:gridSpan w:val="6"/>
            <w:tcBorders>
              <w:top w:val="single" w:sz="4" w:space="0" w:color="auto"/>
              <w:left w:val="single" w:sz="4" w:space="0" w:color="auto"/>
              <w:bottom w:val="single" w:sz="4" w:space="0" w:color="auto"/>
              <w:right w:val="single" w:sz="4" w:space="0" w:color="auto"/>
            </w:tcBorders>
          </w:tcPr>
          <w:p w14:paraId="40D9FB8B" w14:textId="77777777" w:rsidR="005515EB" w:rsidRPr="00827E5B" w:rsidRDefault="005515EB" w:rsidP="006A7A17">
            <w:pPr>
              <w:jc w:val="both"/>
              <w:rPr>
                <w:rFonts w:ascii="Arial" w:hAnsi="Arial" w:cs="Arial"/>
                <w:sz w:val="22"/>
                <w:szCs w:val="22"/>
              </w:rPr>
            </w:pPr>
            <w:bookmarkStart w:id="5" w:name="Ucbeniki"/>
            <w:bookmarkEnd w:id="5"/>
          </w:p>
          <w:p w14:paraId="3EA8D29D" w14:textId="01F84409" w:rsidR="005724A8" w:rsidRDefault="00BB01A3" w:rsidP="005724A8">
            <w:pPr>
              <w:jc w:val="both"/>
            </w:pPr>
            <w:r>
              <w:t xml:space="preserve">Katarina Zajc </w:t>
            </w:r>
            <w:r w:rsidR="005724A8" w:rsidRPr="002A7FC8">
              <w:t xml:space="preserve">in drugi: Gradiva za  predmet Finance na spletni </w:t>
            </w:r>
            <w:r>
              <w:t>učilnici</w:t>
            </w:r>
            <w:r w:rsidR="005724A8" w:rsidRPr="002A7FC8">
              <w:t xml:space="preserve"> predmeta</w:t>
            </w:r>
            <w:r w:rsidR="005724A8">
              <w:t>.</w:t>
            </w:r>
          </w:p>
          <w:p w14:paraId="6DA49870" w14:textId="77777777" w:rsidR="005724A8" w:rsidRPr="002A7FC8" w:rsidRDefault="005724A8" w:rsidP="005724A8">
            <w:pPr>
              <w:jc w:val="both"/>
            </w:pPr>
          </w:p>
          <w:p w14:paraId="5E7904DC" w14:textId="77777777" w:rsidR="005724A8" w:rsidRDefault="005724A8" w:rsidP="005724A8">
            <w:r w:rsidRPr="002A7FC8">
              <w:t>Igličar, Aleksander, Marko Hočevar, Maja Zaman Groff: Računovodski izkazi za pravnike,</w:t>
            </w:r>
            <w:r>
              <w:t xml:space="preserve"> Pravna fakulteta, </w:t>
            </w:r>
            <w:r w:rsidRPr="002A7FC8">
              <w:t>2019</w:t>
            </w:r>
            <w:r>
              <w:t>.</w:t>
            </w:r>
            <w:r w:rsidRPr="002A7FC8">
              <w:t> </w:t>
            </w:r>
          </w:p>
          <w:p w14:paraId="63BC55A5" w14:textId="77777777" w:rsidR="005724A8" w:rsidRPr="002A7FC8" w:rsidRDefault="005724A8" w:rsidP="005724A8"/>
          <w:p w14:paraId="78031EB3" w14:textId="4B2E8018" w:rsidR="005724A8" w:rsidRPr="005724A8" w:rsidRDefault="005724A8" w:rsidP="005724A8">
            <w:pPr>
              <w:rPr>
                <w:rFonts w:ascii="Arial" w:hAnsi="Arial" w:cs="Arial"/>
                <w:b/>
                <w:bCs/>
                <w:sz w:val="22"/>
                <w:szCs w:val="22"/>
              </w:rPr>
            </w:pPr>
            <w:r>
              <w:t>Čok Mitja</w:t>
            </w:r>
            <w:r w:rsidRPr="002A7FC8">
              <w:t xml:space="preserve"> in drugi : Javne finance v Sloveniji, Univerza v Ljubljani, Ekonomska fakulteta, 20</w:t>
            </w:r>
            <w:r>
              <w:t>21</w:t>
            </w:r>
            <w:r w:rsidRPr="002A7FC8">
              <w:t>.</w:t>
            </w:r>
          </w:p>
        </w:tc>
      </w:tr>
      <w:tr w:rsidR="007E52D4" w:rsidRPr="00827E5B" w14:paraId="4DB0DE9B" w14:textId="77777777" w:rsidTr="009D7A57">
        <w:trPr>
          <w:trHeight w:val="73"/>
        </w:trPr>
        <w:tc>
          <w:tcPr>
            <w:tcW w:w="4720" w:type="dxa"/>
            <w:gridSpan w:val="2"/>
            <w:tcBorders>
              <w:top w:val="nil"/>
              <w:left w:val="nil"/>
              <w:bottom w:val="single" w:sz="4" w:space="0" w:color="auto"/>
              <w:right w:val="nil"/>
            </w:tcBorders>
          </w:tcPr>
          <w:p w14:paraId="4C9A310B" w14:textId="77777777" w:rsidR="007E52D4" w:rsidRPr="00827E5B" w:rsidRDefault="007E52D4" w:rsidP="009D7A57">
            <w:pPr>
              <w:rPr>
                <w:rFonts w:ascii="Arial" w:hAnsi="Arial" w:cs="Arial"/>
                <w:b/>
                <w:bCs/>
                <w:sz w:val="22"/>
                <w:szCs w:val="22"/>
              </w:rPr>
            </w:pPr>
          </w:p>
          <w:p w14:paraId="52585227" w14:textId="77777777" w:rsidR="007E52D4" w:rsidRPr="00827E5B" w:rsidRDefault="007E52D4" w:rsidP="009D7A57">
            <w:pPr>
              <w:rPr>
                <w:rFonts w:ascii="Arial" w:hAnsi="Arial" w:cs="Arial"/>
                <w:b/>
                <w:sz w:val="22"/>
                <w:szCs w:val="22"/>
              </w:rPr>
            </w:pPr>
            <w:r w:rsidRPr="00827E5B">
              <w:rPr>
                <w:rFonts w:ascii="Arial" w:hAnsi="Arial" w:cs="Arial"/>
                <w:b/>
                <w:sz w:val="22"/>
                <w:szCs w:val="22"/>
              </w:rPr>
              <w:t>Cilji in kompetence:</w:t>
            </w:r>
          </w:p>
        </w:tc>
        <w:tc>
          <w:tcPr>
            <w:tcW w:w="152" w:type="dxa"/>
            <w:gridSpan w:val="2"/>
          </w:tcPr>
          <w:p w14:paraId="2154963C" w14:textId="77777777" w:rsidR="007E52D4" w:rsidRPr="00827E5B" w:rsidRDefault="007E52D4" w:rsidP="009D7A57">
            <w:pPr>
              <w:rPr>
                <w:rFonts w:ascii="Arial" w:hAnsi="Arial" w:cs="Arial"/>
                <w:b/>
                <w:sz w:val="22"/>
                <w:szCs w:val="22"/>
              </w:rPr>
            </w:pPr>
          </w:p>
        </w:tc>
        <w:tc>
          <w:tcPr>
            <w:tcW w:w="4823" w:type="dxa"/>
            <w:gridSpan w:val="2"/>
            <w:tcBorders>
              <w:top w:val="nil"/>
              <w:left w:val="nil"/>
              <w:bottom w:val="single" w:sz="4" w:space="0" w:color="auto"/>
              <w:right w:val="nil"/>
            </w:tcBorders>
          </w:tcPr>
          <w:p w14:paraId="45143D22" w14:textId="77777777" w:rsidR="007E52D4" w:rsidRPr="00827E5B" w:rsidRDefault="007E52D4" w:rsidP="009D7A57">
            <w:pPr>
              <w:rPr>
                <w:rFonts w:ascii="Arial" w:hAnsi="Arial" w:cs="Arial"/>
                <w:b/>
                <w:sz w:val="22"/>
                <w:szCs w:val="22"/>
              </w:rPr>
            </w:pPr>
          </w:p>
          <w:p w14:paraId="347A2A2D" w14:textId="77777777" w:rsidR="007E52D4" w:rsidRPr="00827E5B" w:rsidRDefault="007E52D4" w:rsidP="009D7A57">
            <w:pPr>
              <w:rPr>
                <w:rFonts w:ascii="Arial" w:hAnsi="Arial" w:cs="Arial"/>
                <w:b/>
                <w:sz w:val="22"/>
                <w:szCs w:val="22"/>
              </w:rPr>
            </w:pPr>
            <w:r w:rsidRPr="00827E5B">
              <w:rPr>
                <w:rFonts w:ascii="Arial" w:hAnsi="Arial" w:cs="Arial"/>
                <w:b/>
                <w:sz w:val="22"/>
                <w:szCs w:val="22"/>
                <w:lang w:val="en-GB"/>
              </w:rPr>
              <w:t>Objectives and competences</w:t>
            </w:r>
            <w:r w:rsidRPr="00827E5B">
              <w:rPr>
                <w:rFonts w:ascii="Arial" w:hAnsi="Arial" w:cs="Arial"/>
                <w:b/>
                <w:sz w:val="22"/>
                <w:szCs w:val="22"/>
              </w:rPr>
              <w:t>:</w:t>
            </w:r>
          </w:p>
        </w:tc>
      </w:tr>
      <w:tr w:rsidR="007E52D4" w:rsidRPr="00827E5B" w14:paraId="4B6C04D5" w14:textId="77777777" w:rsidTr="009D7A57">
        <w:trPr>
          <w:trHeight w:val="1838"/>
        </w:trPr>
        <w:tc>
          <w:tcPr>
            <w:tcW w:w="4720" w:type="dxa"/>
            <w:gridSpan w:val="2"/>
            <w:tcBorders>
              <w:top w:val="single" w:sz="4" w:space="0" w:color="auto"/>
              <w:left w:val="single" w:sz="4" w:space="0" w:color="auto"/>
              <w:bottom w:val="single" w:sz="4" w:space="0" w:color="auto"/>
              <w:right w:val="single" w:sz="4" w:space="0" w:color="auto"/>
            </w:tcBorders>
          </w:tcPr>
          <w:p w14:paraId="1558CD7B" w14:textId="77777777" w:rsidR="001835A2" w:rsidRPr="00827E5B" w:rsidRDefault="00086CC1" w:rsidP="000F5F17">
            <w:pPr>
              <w:rPr>
                <w:rFonts w:ascii="Arial" w:hAnsi="Arial" w:cs="Arial"/>
                <w:sz w:val="22"/>
                <w:szCs w:val="22"/>
              </w:rPr>
            </w:pPr>
            <w:r w:rsidRPr="00827E5B">
              <w:rPr>
                <w:rFonts w:ascii="Arial" w:hAnsi="Arial" w:cs="Arial"/>
                <w:sz w:val="22"/>
                <w:szCs w:val="22"/>
              </w:rPr>
              <w:t xml:space="preserve">Namen </w:t>
            </w:r>
            <w:r w:rsidR="001F7442" w:rsidRPr="00827E5B">
              <w:rPr>
                <w:rFonts w:ascii="Arial" w:hAnsi="Arial" w:cs="Arial"/>
                <w:sz w:val="22"/>
                <w:szCs w:val="22"/>
              </w:rPr>
              <w:t>predmeta je seznaniti študente</w:t>
            </w:r>
            <w:r w:rsidRPr="00827E5B">
              <w:rPr>
                <w:rFonts w:ascii="Arial" w:hAnsi="Arial" w:cs="Arial"/>
                <w:sz w:val="22"/>
                <w:szCs w:val="22"/>
              </w:rPr>
              <w:t xml:space="preserve"> z osnovnimi </w:t>
            </w:r>
            <w:r w:rsidR="001F7442" w:rsidRPr="00827E5B">
              <w:rPr>
                <w:rFonts w:ascii="Arial" w:hAnsi="Arial" w:cs="Arial"/>
                <w:sz w:val="22"/>
                <w:szCs w:val="22"/>
              </w:rPr>
              <w:t xml:space="preserve">ekonomskimi koncepti </w:t>
            </w:r>
            <w:r w:rsidR="000F5F17" w:rsidRPr="00827E5B">
              <w:rPr>
                <w:rFonts w:ascii="Arial" w:hAnsi="Arial" w:cs="Arial"/>
                <w:sz w:val="22"/>
                <w:szCs w:val="22"/>
              </w:rPr>
              <w:t xml:space="preserve"> </w:t>
            </w:r>
            <w:r w:rsidR="00C31E40" w:rsidRPr="00827E5B">
              <w:rPr>
                <w:rFonts w:ascii="Arial" w:hAnsi="Arial" w:cs="Arial"/>
                <w:sz w:val="22"/>
                <w:szCs w:val="22"/>
              </w:rPr>
              <w:t xml:space="preserve">s področja </w:t>
            </w:r>
            <w:r w:rsidR="000F5F17" w:rsidRPr="00827E5B">
              <w:rPr>
                <w:rFonts w:ascii="Arial" w:hAnsi="Arial" w:cs="Arial"/>
                <w:sz w:val="22"/>
                <w:szCs w:val="22"/>
              </w:rPr>
              <w:t xml:space="preserve">financ, </w:t>
            </w:r>
            <w:r w:rsidRPr="00827E5B">
              <w:rPr>
                <w:rFonts w:ascii="Arial" w:hAnsi="Arial" w:cs="Arial"/>
                <w:sz w:val="22"/>
                <w:szCs w:val="22"/>
              </w:rPr>
              <w:t>ki so osnova za razumevanje finančnih predpisov in aktualn</w:t>
            </w:r>
            <w:r w:rsidR="004E52B3" w:rsidRPr="00827E5B">
              <w:rPr>
                <w:rFonts w:ascii="Arial" w:hAnsi="Arial" w:cs="Arial"/>
                <w:sz w:val="22"/>
                <w:szCs w:val="22"/>
              </w:rPr>
              <w:t xml:space="preserve">ih vprašanj s </w:t>
            </w:r>
            <w:r w:rsidR="00C31E40" w:rsidRPr="00827E5B">
              <w:rPr>
                <w:rFonts w:ascii="Arial" w:hAnsi="Arial" w:cs="Arial"/>
                <w:sz w:val="22"/>
                <w:szCs w:val="22"/>
              </w:rPr>
              <w:t xml:space="preserve">tega </w:t>
            </w:r>
            <w:r w:rsidR="004E52B3" w:rsidRPr="00827E5B">
              <w:rPr>
                <w:rFonts w:ascii="Arial" w:hAnsi="Arial" w:cs="Arial"/>
                <w:sz w:val="22"/>
                <w:szCs w:val="22"/>
              </w:rPr>
              <w:t>področj</w:t>
            </w:r>
            <w:r w:rsidR="00F75987" w:rsidRPr="00827E5B">
              <w:rPr>
                <w:rFonts w:ascii="Arial" w:hAnsi="Arial" w:cs="Arial"/>
                <w:sz w:val="22"/>
                <w:szCs w:val="22"/>
              </w:rPr>
              <w:t>a</w:t>
            </w:r>
            <w:r w:rsidRPr="00827E5B">
              <w:rPr>
                <w:rFonts w:ascii="Arial" w:hAnsi="Arial" w:cs="Arial"/>
                <w:sz w:val="22"/>
                <w:szCs w:val="22"/>
              </w:rPr>
              <w:t xml:space="preserve">. </w:t>
            </w:r>
          </w:p>
          <w:p w14:paraId="0ACFB41D" w14:textId="77777777" w:rsidR="001F7442" w:rsidRPr="00827E5B" w:rsidRDefault="001F7442" w:rsidP="000F5F17">
            <w:pPr>
              <w:rPr>
                <w:rFonts w:ascii="Arial" w:hAnsi="Arial" w:cs="Arial"/>
                <w:sz w:val="22"/>
                <w:szCs w:val="22"/>
              </w:rPr>
            </w:pPr>
          </w:p>
          <w:p w14:paraId="5D3D7A80" w14:textId="77777777" w:rsidR="007E52D4" w:rsidRPr="00827E5B" w:rsidRDefault="00086CC1" w:rsidP="004E52B3">
            <w:pPr>
              <w:rPr>
                <w:rFonts w:ascii="Arial" w:hAnsi="Arial" w:cs="Arial"/>
                <w:sz w:val="22"/>
                <w:szCs w:val="22"/>
              </w:rPr>
            </w:pPr>
            <w:r w:rsidRPr="00827E5B">
              <w:rPr>
                <w:rFonts w:ascii="Arial" w:hAnsi="Arial" w:cs="Arial"/>
                <w:sz w:val="22"/>
                <w:szCs w:val="22"/>
              </w:rPr>
              <w:t>Na praktični rav</w:t>
            </w:r>
            <w:r w:rsidR="005E791E" w:rsidRPr="00827E5B">
              <w:rPr>
                <w:rFonts w:ascii="Arial" w:hAnsi="Arial" w:cs="Arial"/>
                <w:sz w:val="22"/>
                <w:szCs w:val="22"/>
              </w:rPr>
              <w:t xml:space="preserve">ni se predvideva, da študentje </w:t>
            </w:r>
            <w:r w:rsidRPr="00827E5B">
              <w:rPr>
                <w:rFonts w:ascii="Arial" w:hAnsi="Arial" w:cs="Arial"/>
                <w:sz w:val="22"/>
                <w:szCs w:val="22"/>
              </w:rPr>
              <w:t xml:space="preserve">spoznajo ureditev finančnega </w:t>
            </w:r>
            <w:r w:rsidR="001835A2" w:rsidRPr="00827E5B">
              <w:rPr>
                <w:rFonts w:ascii="Arial" w:hAnsi="Arial" w:cs="Arial"/>
                <w:sz w:val="22"/>
                <w:szCs w:val="22"/>
              </w:rPr>
              <w:t xml:space="preserve">poslovanja, </w:t>
            </w:r>
            <w:r w:rsidRPr="00827E5B">
              <w:rPr>
                <w:rFonts w:ascii="Arial" w:hAnsi="Arial" w:cs="Arial"/>
                <w:sz w:val="22"/>
                <w:szCs w:val="22"/>
              </w:rPr>
              <w:t>načr</w:t>
            </w:r>
            <w:r w:rsidR="004E52B3" w:rsidRPr="00827E5B">
              <w:rPr>
                <w:rFonts w:ascii="Arial" w:hAnsi="Arial" w:cs="Arial"/>
                <w:sz w:val="22"/>
                <w:szCs w:val="22"/>
              </w:rPr>
              <w:t>tovan</w:t>
            </w:r>
            <w:r w:rsidR="000618AA" w:rsidRPr="00827E5B">
              <w:rPr>
                <w:rFonts w:ascii="Arial" w:hAnsi="Arial" w:cs="Arial"/>
                <w:sz w:val="22"/>
                <w:szCs w:val="22"/>
              </w:rPr>
              <w:t>ja in poročanja ter obdavčitve v podjetniškem sektorju</w:t>
            </w:r>
            <w:r w:rsidR="003D2041" w:rsidRPr="00827E5B">
              <w:rPr>
                <w:rFonts w:ascii="Arial" w:hAnsi="Arial" w:cs="Arial"/>
                <w:sz w:val="22"/>
                <w:szCs w:val="22"/>
              </w:rPr>
              <w:t xml:space="preserve"> v Sloveniji</w:t>
            </w:r>
            <w:r w:rsidR="001F7442" w:rsidRPr="00827E5B">
              <w:rPr>
                <w:rFonts w:ascii="Arial" w:hAnsi="Arial" w:cs="Arial"/>
                <w:sz w:val="22"/>
                <w:szCs w:val="22"/>
              </w:rPr>
              <w:t>.</w:t>
            </w:r>
          </w:p>
          <w:p w14:paraId="1A9162A9" w14:textId="77777777" w:rsidR="005E791E" w:rsidRPr="00827E5B" w:rsidRDefault="005E791E" w:rsidP="004E52B3">
            <w:pPr>
              <w:rPr>
                <w:rFonts w:ascii="Arial" w:hAnsi="Arial" w:cs="Arial"/>
                <w:sz w:val="22"/>
                <w:szCs w:val="22"/>
              </w:rPr>
            </w:pPr>
          </w:p>
          <w:p w14:paraId="56829EEC" w14:textId="77777777" w:rsidR="005E791E" w:rsidRPr="00827E5B" w:rsidRDefault="005E791E" w:rsidP="005E791E">
            <w:pPr>
              <w:rPr>
                <w:rFonts w:ascii="Arial" w:hAnsi="Arial" w:cs="Arial"/>
                <w:sz w:val="22"/>
                <w:szCs w:val="22"/>
              </w:rPr>
            </w:pPr>
            <w:r w:rsidRPr="00827E5B">
              <w:rPr>
                <w:rFonts w:ascii="Arial" w:hAnsi="Arial" w:cs="Arial"/>
                <w:sz w:val="22"/>
                <w:szCs w:val="22"/>
              </w:rPr>
              <w:t>Pridobljeno znanje je mogoče neposredno uporabiti pri delovanju v  zasebnem in v javnem sektorju.</w:t>
            </w:r>
          </w:p>
          <w:p w14:paraId="6C17A00B" w14:textId="77777777" w:rsidR="005E791E" w:rsidRPr="00827E5B" w:rsidRDefault="005E791E" w:rsidP="004E52B3">
            <w:pPr>
              <w:rPr>
                <w:rFonts w:ascii="Arial" w:hAnsi="Arial" w:cs="Arial"/>
                <w:sz w:val="22"/>
                <w:szCs w:val="22"/>
              </w:rPr>
            </w:pPr>
          </w:p>
        </w:tc>
        <w:tc>
          <w:tcPr>
            <w:tcW w:w="152" w:type="dxa"/>
            <w:gridSpan w:val="2"/>
            <w:tcBorders>
              <w:top w:val="nil"/>
              <w:left w:val="single" w:sz="4" w:space="0" w:color="auto"/>
              <w:bottom w:val="nil"/>
              <w:right w:val="single" w:sz="4" w:space="0" w:color="auto"/>
            </w:tcBorders>
          </w:tcPr>
          <w:p w14:paraId="6163BDCE" w14:textId="77777777" w:rsidR="007E52D4" w:rsidRPr="00827E5B" w:rsidRDefault="007E52D4" w:rsidP="009D7A57">
            <w:pPr>
              <w:rPr>
                <w:rFonts w:ascii="Arial" w:hAnsi="Arial" w:cs="Arial"/>
                <w:b/>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14:paraId="4A7572C2" w14:textId="77777777" w:rsidR="007E52D4" w:rsidRPr="00827E5B" w:rsidRDefault="001F7442" w:rsidP="009D7A57">
            <w:pPr>
              <w:rPr>
                <w:rFonts w:ascii="Arial" w:hAnsi="Arial" w:cs="Arial"/>
                <w:sz w:val="22"/>
                <w:szCs w:val="22"/>
                <w:lang w:val="en-US"/>
              </w:rPr>
            </w:pPr>
            <w:r w:rsidRPr="00827E5B">
              <w:rPr>
                <w:rFonts w:ascii="Arial" w:hAnsi="Arial" w:cs="Arial"/>
                <w:sz w:val="22"/>
                <w:szCs w:val="22"/>
                <w:lang w:val="en-US"/>
              </w:rPr>
              <w:t xml:space="preserve">The purpose of the course is </w:t>
            </w:r>
            <w:r w:rsidR="00240AD3" w:rsidRPr="00827E5B">
              <w:rPr>
                <w:rFonts w:ascii="Arial" w:hAnsi="Arial" w:cs="Arial"/>
                <w:sz w:val="22"/>
                <w:szCs w:val="22"/>
                <w:lang w:val="en-US"/>
              </w:rPr>
              <w:t xml:space="preserve">to </w:t>
            </w:r>
            <w:r w:rsidRPr="00827E5B">
              <w:rPr>
                <w:rFonts w:ascii="Arial" w:hAnsi="Arial" w:cs="Arial"/>
                <w:sz w:val="22"/>
                <w:szCs w:val="22"/>
                <w:lang w:val="en-US"/>
              </w:rPr>
              <w:t xml:space="preserve">acquaint students with the basic economic concepts in </w:t>
            </w:r>
            <w:r w:rsidR="00C31E40" w:rsidRPr="00827E5B">
              <w:rPr>
                <w:rFonts w:ascii="Arial" w:hAnsi="Arial" w:cs="Arial"/>
                <w:sz w:val="22"/>
                <w:szCs w:val="22"/>
                <w:lang w:val="en-US"/>
              </w:rPr>
              <w:t xml:space="preserve">the field of finance </w:t>
            </w:r>
            <w:r w:rsidRPr="00827E5B">
              <w:rPr>
                <w:rFonts w:ascii="Arial" w:hAnsi="Arial" w:cs="Arial"/>
                <w:sz w:val="22"/>
                <w:szCs w:val="22"/>
                <w:lang w:val="en-US"/>
              </w:rPr>
              <w:t>which are the basis for understanding financial regulations a</w:t>
            </w:r>
            <w:r w:rsidR="003D2041" w:rsidRPr="00827E5B">
              <w:rPr>
                <w:rFonts w:ascii="Arial" w:hAnsi="Arial" w:cs="Arial"/>
                <w:sz w:val="22"/>
                <w:szCs w:val="22"/>
                <w:lang w:val="en-US"/>
              </w:rPr>
              <w:t>nd topical questions in this</w:t>
            </w:r>
            <w:r w:rsidRPr="00827E5B">
              <w:rPr>
                <w:rFonts w:ascii="Arial" w:hAnsi="Arial" w:cs="Arial"/>
                <w:sz w:val="22"/>
                <w:szCs w:val="22"/>
                <w:lang w:val="en-US"/>
              </w:rPr>
              <w:t xml:space="preserve"> field.</w:t>
            </w:r>
          </w:p>
          <w:p w14:paraId="16C05E09" w14:textId="77777777" w:rsidR="001F7442" w:rsidRPr="00827E5B" w:rsidRDefault="001F7442" w:rsidP="009D7A57">
            <w:pPr>
              <w:rPr>
                <w:rFonts w:ascii="Arial" w:hAnsi="Arial" w:cs="Arial"/>
                <w:sz w:val="22"/>
                <w:szCs w:val="22"/>
                <w:lang w:val="en-US"/>
              </w:rPr>
            </w:pPr>
          </w:p>
          <w:p w14:paraId="6CE445C6" w14:textId="77777777" w:rsidR="001F7442" w:rsidRPr="00827E5B" w:rsidRDefault="001F7442" w:rsidP="005E791E">
            <w:pPr>
              <w:rPr>
                <w:rFonts w:ascii="Arial" w:hAnsi="Arial" w:cs="Arial"/>
                <w:sz w:val="22"/>
                <w:szCs w:val="22"/>
                <w:lang w:val="en-US"/>
              </w:rPr>
            </w:pPr>
            <w:r w:rsidRPr="00827E5B">
              <w:rPr>
                <w:rFonts w:ascii="Arial" w:hAnsi="Arial" w:cs="Arial"/>
                <w:sz w:val="22"/>
                <w:szCs w:val="22"/>
                <w:lang w:val="en-US"/>
              </w:rPr>
              <w:t>On practical level</w:t>
            </w:r>
            <w:r w:rsidR="005E791E" w:rsidRPr="00827E5B">
              <w:rPr>
                <w:rFonts w:ascii="Arial" w:hAnsi="Arial" w:cs="Arial"/>
                <w:sz w:val="22"/>
                <w:szCs w:val="22"/>
                <w:lang w:val="en-US"/>
              </w:rPr>
              <w:t xml:space="preserve"> it is expected that students</w:t>
            </w:r>
            <w:r w:rsidR="00C31E40" w:rsidRPr="00827E5B">
              <w:rPr>
                <w:rFonts w:ascii="Arial" w:hAnsi="Arial" w:cs="Arial"/>
                <w:sz w:val="22"/>
                <w:szCs w:val="22"/>
                <w:lang w:val="en-US"/>
              </w:rPr>
              <w:t xml:space="preserve"> learn about</w:t>
            </w:r>
            <w:r w:rsidR="005E791E" w:rsidRPr="00827E5B">
              <w:rPr>
                <w:rFonts w:ascii="Arial" w:hAnsi="Arial" w:cs="Arial"/>
                <w:sz w:val="22"/>
                <w:szCs w:val="22"/>
                <w:lang w:val="en-US"/>
              </w:rPr>
              <w:t xml:space="preserve"> the arrangements for financial operations, planning and reporting as well as tax payments in the corporate sector</w:t>
            </w:r>
            <w:r w:rsidR="003D2041" w:rsidRPr="00827E5B">
              <w:rPr>
                <w:rFonts w:ascii="Arial" w:hAnsi="Arial" w:cs="Arial"/>
                <w:sz w:val="22"/>
                <w:szCs w:val="22"/>
                <w:lang w:val="en-US"/>
              </w:rPr>
              <w:t xml:space="preserve"> in Slovenia</w:t>
            </w:r>
            <w:r w:rsidR="005E791E" w:rsidRPr="00827E5B">
              <w:rPr>
                <w:rFonts w:ascii="Arial" w:hAnsi="Arial" w:cs="Arial"/>
                <w:sz w:val="22"/>
                <w:szCs w:val="22"/>
                <w:lang w:val="en-US"/>
              </w:rPr>
              <w:t>.</w:t>
            </w:r>
          </w:p>
          <w:p w14:paraId="0C55BA37" w14:textId="77777777" w:rsidR="005E791E" w:rsidRPr="00827E5B" w:rsidRDefault="005E791E" w:rsidP="005E791E">
            <w:pPr>
              <w:rPr>
                <w:rFonts w:ascii="Arial" w:hAnsi="Arial" w:cs="Arial"/>
                <w:sz w:val="22"/>
                <w:szCs w:val="22"/>
                <w:lang w:val="en-US"/>
              </w:rPr>
            </w:pPr>
          </w:p>
          <w:p w14:paraId="4FD57811" w14:textId="77777777" w:rsidR="005E791E" w:rsidRPr="00827E5B" w:rsidRDefault="005E791E" w:rsidP="005E791E">
            <w:pPr>
              <w:rPr>
                <w:rFonts w:ascii="Arial" w:hAnsi="Arial" w:cs="Arial"/>
                <w:sz w:val="22"/>
                <w:szCs w:val="22"/>
                <w:lang w:val="en-US"/>
              </w:rPr>
            </w:pPr>
            <w:r w:rsidRPr="00827E5B">
              <w:rPr>
                <w:rFonts w:ascii="Arial" w:hAnsi="Arial" w:cs="Arial"/>
                <w:sz w:val="22"/>
                <w:szCs w:val="22"/>
                <w:lang w:val="en-US"/>
              </w:rPr>
              <w:t>The acquired knowledge can be applied directly to activities in the private and public sectors.</w:t>
            </w:r>
          </w:p>
        </w:tc>
      </w:tr>
      <w:tr w:rsidR="007E52D4" w:rsidRPr="00827E5B" w14:paraId="31C1B7BD" w14:textId="77777777" w:rsidTr="009D7A57">
        <w:trPr>
          <w:trHeight w:val="117"/>
        </w:trPr>
        <w:tc>
          <w:tcPr>
            <w:tcW w:w="4730" w:type="dxa"/>
            <w:gridSpan w:val="3"/>
            <w:tcBorders>
              <w:top w:val="nil"/>
              <w:left w:val="nil"/>
              <w:bottom w:val="single" w:sz="4" w:space="0" w:color="auto"/>
              <w:right w:val="nil"/>
            </w:tcBorders>
          </w:tcPr>
          <w:p w14:paraId="0A02455C" w14:textId="77777777" w:rsidR="007E52D4" w:rsidRPr="00827E5B" w:rsidRDefault="007E52D4" w:rsidP="009D7A57">
            <w:pPr>
              <w:rPr>
                <w:rFonts w:ascii="Arial" w:hAnsi="Arial" w:cs="Arial"/>
                <w:b/>
                <w:sz w:val="22"/>
                <w:szCs w:val="22"/>
              </w:rPr>
            </w:pPr>
          </w:p>
          <w:p w14:paraId="142B9611" w14:textId="77777777" w:rsidR="007E52D4" w:rsidRPr="00827E5B" w:rsidRDefault="007E52D4" w:rsidP="009D7A57">
            <w:pPr>
              <w:rPr>
                <w:rFonts w:ascii="Arial" w:hAnsi="Arial" w:cs="Arial"/>
                <w:b/>
                <w:sz w:val="22"/>
                <w:szCs w:val="22"/>
              </w:rPr>
            </w:pPr>
            <w:r w:rsidRPr="00827E5B">
              <w:rPr>
                <w:rFonts w:ascii="Arial" w:hAnsi="Arial" w:cs="Arial"/>
                <w:b/>
                <w:sz w:val="22"/>
                <w:szCs w:val="22"/>
              </w:rPr>
              <w:t>Predvideni študijski rezultati:</w:t>
            </w:r>
          </w:p>
        </w:tc>
        <w:tc>
          <w:tcPr>
            <w:tcW w:w="142" w:type="dxa"/>
          </w:tcPr>
          <w:p w14:paraId="6728D421" w14:textId="77777777" w:rsidR="007E52D4" w:rsidRPr="00827E5B" w:rsidRDefault="007E52D4" w:rsidP="009D7A57">
            <w:pPr>
              <w:rPr>
                <w:rFonts w:ascii="Arial" w:hAnsi="Arial" w:cs="Arial"/>
                <w:b/>
                <w:sz w:val="22"/>
                <w:szCs w:val="22"/>
              </w:rPr>
            </w:pPr>
          </w:p>
          <w:p w14:paraId="245EDA8B" w14:textId="77777777" w:rsidR="007E52D4" w:rsidRPr="00827E5B" w:rsidRDefault="007E52D4" w:rsidP="009D7A57">
            <w:pPr>
              <w:rPr>
                <w:rFonts w:ascii="Arial" w:hAnsi="Arial" w:cs="Arial"/>
                <w:b/>
                <w:sz w:val="22"/>
                <w:szCs w:val="22"/>
              </w:rPr>
            </w:pPr>
          </w:p>
        </w:tc>
        <w:tc>
          <w:tcPr>
            <w:tcW w:w="4823" w:type="dxa"/>
            <w:gridSpan w:val="2"/>
            <w:tcBorders>
              <w:top w:val="nil"/>
              <w:left w:val="nil"/>
              <w:bottom w:val="single" w:sz="4" w:space="0" w:color="auto"/>
              <w:right w:val="nil"/>
            </w:tcBorders>
          </w:tcPr>
          <w:p w14:paraId="65F2D731" w14:textId="77777777" w:rsidR="007E52D4" w:rsidRPr="00827E5B" w:rsidRDefault="007E52D4" w:rsidP="009D7A57">
            <w:pPr>
              <w:rPr>
                <w:rFonts w:ascii="Arial" w:hAnsi="Arial" w:cs="Arial"/>
                <w:b/>
                <w:sz w:val="22"/>
                <w:szCs w:val="22"/>
              </w:rPr>
            </w:pPr>
          </w:p>
          <w:p w14:paraId="303664B1" w14:textId="77777777" w:rsidR="007E52D4" w:rsidRPr="00827E5B" w:rsidRDefault="007E52D4" w:rsidP="009D7A57">
            <w:pPr>
              <w:rPr>
                <w:rFonts w:ascii="Arial" w:hAnsi="Arial" w:cs="Arial"/>
                <w:b/>
                <w:sz w:val="22"/>
                <w:szCs w:val="22"/>
              </w:rPr>
            </w:pPr>
            <w:r w:rsidRPr="00827E5B">
              <w:rPr>
                <w:rFonts w:ascii="Arial" w:hAnsi="Arial" w:cs="Arial"/>
                <w:b/>
                <w:sz w:val="22"/>
                <w:szCs w:val="22"/>
              </w:rPr>
              <w:t>Intended learning outcomes:</w:t>
            </w:r>
          </w:p>
        </w:tc>
      </w:tr>
      <w:tr w:rsidR="007E52D4" w:rsidRPr="00827E5B" w14:paraId="1AA538A7" w14:textId="77777777" w:rsidTr="009D7A57">
        <w:trPr>
          <w:trHeight w:val="1387"/>
        </w:trPr>
        <w:tc>
          <w:tcPr>
            <w:tcW w:w="4730" w:type="dxa"/>
            <w:gridSpan w:val="3"/>
            <w:tcBorders>
              <w:top w:val="single" w:sz="4" w:space="0" w:color="auto"/>
              <w:left w:val="single" w:sz="4" w:space="0" w:color="auto"/>
              <w:bottom w:val="nil"/>
              <w:right w:val="single" w:sz="4" w:space="0" w:color="auto"/>
            </w:tcBorders>
          </w:tcPr>
          <w:p w14:paraId="6FB2948A" w14:textId="77777777" w:rsidR="000618AA" w:rsidRPr="00827E5B" w:rsidRDefault="007E52D4" w:rsidP="009D7A57">
            <w:pPr>
              <w:rPr>
                <w:rFonts w:ascii="Arial" w:hAnsi="Arial" w:cs="Arial"/>
                <w:sz w:val="22"/>
                <w:szCs w:val="22"/>
              </w:rPr>
            </w:pPr>
            <w:r w:rsidRPr="00827E5B">
              <w:rPr>
                <w:rFonts w:ascii="Arial" w:hAnsi="Arial" w:cs="Arial"/>
                <w:sz w:val="22"/>
                <w:szCs w:val="22"/>
              </w:rPr>
              <w:t>Znanje in razumevanje:</w:t>
            </w:r>
          </w:p>
          <w:p w14:paraId="30F96BE4" w14:textId="77777777" w:rsidR="000618AA" w:rsidRPr="00827E5B" w:rsidRDefault="000618AA" w:rsidP="009D7A57">
            <w:pPr>
              <w:rPr>
                <w:rFonts w:ascii="Arial" w:hAnsi="Arial" w:cs="Arial"/>
                <w:sz w:val="22"/>
                <w:szCs w:val="22"/>
              </w:rPr>
            </w:pPr>
          </w:p>
          <w:p w14:paraId="6BACEA1C" w14:textId="4B832706" w:rsidR="000618AA" w:rsidRPr="00827E5B" w:rsidRDefault="000618AA" w:rsidP="009D7A57">
            <w:pPr>
              <w:rPr>
                <w:rFonts w:ascii="Arial" w:hAnsi="Arial" w:cs="Arial"/>
                <w:sz w:val="22"/>
                <w:szCs w:val="22"/>
              </w:rPr>
            </w:pPr>
            <w:r w:rsidRPr="00827E5B">
              <w:rPr>
                <w:rFonts w:ascii="Arial" w:hAnsi="Arial" w:cs="Arial"/>
                <w:sz w:val="22"/>
                <w:szCs w:val="22"/>
              </w:rPr>
              <w:t>Š</w:t>
            </w:r>
            <w:r w:rsidR="005E791E" w:rsidRPr="00827E5B">
              <w:rPr>
                <w:rFonts w:ascii="Arial" w:hAnsi="Arial" w:cs="Arial"/>
                <w:sz w:val="22"/>
                <w:szCs w:val="22"/>
              </w:rPr>
              <w:t xml:space="preserve">tudentje pridobijo </w:t>
            </w:r>
            <w:r w:rsidR="00086CC1" w:rsidRPr="00827E5B">
              <w:rPr>
                <w:rFonts w:ascii="Arial" w:hAnsi="Arial" w:cs="Arial"/>
                <w:sz w:val="22"/>
                <w:szCs w:val="22"/>
              </w:rPr>
              <w:t>razume</w:t>
            </w:r>
            <w:r w:rsidRPr="00827E5B">
              <w:rPr>
                <w:rFonts w:ascii="Arial" w:hAnsi="Arial" w:cs="Arial"/>
                <w:sz w:val="22"/>
                <w:szCs w:val="22"/>
              </w:rPr>
              <w:t>vanje osnovnih</w:t>
            </w:r>
            <w:r w:rsidR="00C31E40" w:rsidRPr="00827E5B">
              <w:rPr>
                <w:rFonts w:ascii="Arial" w:hAnsi="Arial" w:cs="Arial"/>
                <w:sz w:val="22"/>
                <w:szCs w:val="22"/>
              </w:rPr>
              <w:t xml:space="preserve"> ekonomskih in pravnih pojmov</w:t>
            </w:r>
            <w:r w:rsidR="00086CC1" w:rsidRPr="00827E5B">
              <w:rPr>
                <w:rFonts w:ascii="Arial" w:hAnsi="Arial" w:cs="Arial"/>
                <w:sz w:val="22"/>
                <w:szCs w:val="22"/>
              </w:rPr>
              <w:t xml:space="preserve"> s področja</w:t>
            </w:r>
            <w:r w:rsidR="004E52B3" w:rsidRPr="00827E5B">
              <w:rPr>
                <w:rFonts w:ascii="Arial" w:hAnsi="Arial" w:cs="Arial"/>
                <w:sz w:val="22"/>
                <w:szCs w:val="22"/>
              </w:rPr>
              <w:t xml:space="preserve"> </w:t>
            </w:r>
            <w:r w:rsidR="00BB01A3">
              <w:rPr>
                <w:rFonts w:ascii="Arial" w:hAnsi="Arial" w:cs="Arial"/>
                <w:sz w:val="22"/>
                <w:szCs w:val="22"/>
              </w:rPr>
              <w:t xml:space="preserve">računovodskega poročanja, </w:t>
            </w:r>
            <w:r w:rsidR="00C31E40" w:rsidRPr="00827E5B">
              <w:rPr>
                <w:rFonts w:ascii="Arial" w:hAnsi="Arial" w:cs="Arial"/>
                <w:sz w:val="22"/>
                <w:szCs w:val="22"/>
              </w:rPr>
              <w:t>poslovnih financ, davkov in prispevkov</w:t>
            </w:r>
            <w:r w:rsidR="004E52B3" w:rsidRPr="00827E5B">
              <w:rPr>
                <w:rFonts w:ascii="Arial" w:hAnsi="Arial" w:cs="Arial"/>
                <w:sz w:val="22"/>
                <w:szCs w:val="22"/>
              </w:rPr>
              <w:t xml:space="preserve">. </w:t>
            </w:r>
            <w:r w:rsidR="005E791E" w:rsidRPr="00827E5B">
              <w:rPr>
                <w:rFonts w:ascii="Arial" w:hAnsi="Arial" w:cs="Arial"/>
                <w:sz w:val="22"/>
                <w:szCs w:val="22"/>
              </w:rPr>
              <w:t xml:space="preserve">Po opravljenih obveznostih so študentje </w:t>
            </w:r>
            <w:r w:rsidRPr="00827E5B">
              <w:rPr>
                <w:rFonts w:ascii="Arial" w:hAnsi="Arial" w:cs="Arial"/>
                <w:sz w:val="22"/>
                <w:szCs w:val="22"/>
              </w:rPr>
              <w:t xml:space="preserve"> </w:t>
            </w:r>
            <w:r w:rsidR="005E791E" w:rsidRPr="00827E5B">
              <w:rPr>
                <w:rFonts w:ascii="Arial" w:hAnsi="Arial" w:cs="Arial"/>
                <w:sz w:val="22"/>
                <w:szCs w:val="22"/>
              </w:rPr>
              <w:t>sposobni</w:t>
            </w:r>
            <w:r w:rsidRPr="00827E5B">
              <w:rPr>
                <w:rFonts w:ascii="Arial" w:hAnsi="Arial" w:cs="Arial"/>
                <w:sz w:val="22"/>
                <w:szCs w:val="22"/>
              </w:rPr>
              <w:t xml:space="preserve"> argumentirano interpretirati zakonske določbe s področja in spremljati ter analizirati slovensko prakso.</w:t>
            </w:r>
          </w:p>
          <w:p w14:paraId="639E1DAB" w14:textId="77777777" w:rsidR="000618AA" w:rsidRPr="00827E5B" w:rsidRDefault="000618AA" w:rsidP="009D7A57">
            <w:pPr>
              <w:rPr>
                <w:rFonts w:ascii="Arial" w:hAnsi="Arial" w:cs="Arial"/>
                <w:sz w:val="22"/>
                <w:szCs w:val="22"/>
              </w:rPr>
            </w:pPr>
          </w:p>
          <w:p w14:paraId="43E51FBC" w14:textId="77777777" w:rsidR="00086CC1" w:rsidRPr="00827E5B" w:rsidRDefault="00086CC1" w:rsidP="00A67C34">
            <w:pPr>
              <w:rPr>
                <w:rFonts w:ascii="Arial" w:hAnsi="Arial" w:cs="Arial"/>
                <w:sz w:val="22"/>
                <w:szCs w:val="22"/>
              </w:rPr>
            </w:pPr>
            <w:r w:rsidRPr="00827E5B">
              <w:rPr>
                <w:rFonts w:ascii="Arial" w:hAnsi="Arial" w:cs="Arial"/>
                <w:sz w:val="22"/>
                <w:szCs w:val="22"/>
              </w:rPr>
              <w:t>Študenti povezujejo pridobljene znanje predvsem z drugimi predmeti s področja ekonomije</w:t>
            </w:r>
            <w:r w:rsidR="004E52B3" w:rsidRPr="00827E5B">
              <w:rPr>
                <w:rFonts w:ascii="Arial" w:hAnsi="Arial" w:cs="Arial"/>
                <w:sz w:val="22"/>
                <w:szCs w:val="22"/>
              </w:rPr>
              <w:t>,</w:t>
            </w:r>
            <w:r w:rsidR="000F5F17" w:rsidRPr="00827E5B">
              <w:rPr>
                <w:rFonts w:ascii="Arial" w:hAnsi="Arial" w:cs="Arial"/>
                <w:sz w:val="22"/>
                <w:szCs w:val="22"/>
              </w:rPr>
              <w:t xml:space="preserve">  </w:t>
            </w:r>
            <w:r w:rsidRPr="00827E5B">
              <w:rPr>
                <w:rFonts w:ascii="Arial" w:hAnsi="Arial" w:cs="Arial"/>
                <w:sz w:val="22"/>
                <w:szCs w:val="22"/>
              </w:rPr>
              <w:t>gospodarskega prava</w:t>
            </w:r>
            <w:r w:rsidR="004E52B3" w:rsidRPr="00827E5B">
              <w:rPr>
                <w:rFonts w:ascii="Arial" w:hAnsi="Arial" w:cs="Arial"/>
                <w:sz w:val="22"/>
                <w:szCs w:val="22"/>
              </w:rPr>
              <w:t xml:space="preserve"> in prava socialne varnosti</w:t>
            </w:r>
            <w:r w:rsidRPr="00827E5B">
              <w:rPr>
                <w:rFonts w:ascii="Arial" w:hAnsi="Arial" w:cs="Arial"/>
                <w:sz w:val="22"/>
                <w:szCs w:val="22"/>
              </w:rPr>
              <w:t>. Predmet zagotavlja vsebins</w:t>
            </w:r>
            <w:r w:rsidR="004E52B3" w:rsidRPr="00827E5B">
              <w:rPr>
                <w:rFonts w:ascii="Arial" w:hAnsi="Arial" w:cs="Arial"/>
                <w:sz w:val="22"/>
                <w:szCs w:val="22"/>
              </w:rPr>
              <w:t xml:space="preserve">ke podlage za razumevanje </w:t>
            </w:r>
            <w:r w:rsidR="00A67C34" w:rsidRPr="00827E5B">
              <w:rPr>
                <w:rFonts w:ascii="Arial" w:hAnsi="Arial" w:cs="Arial"/>
                <w:sz w:val="22"/>
                <w:szCs w:val="22"/>
              </w:rPr>
              <w:t xml:space="preserve">korporacijske in insolvenčne </w:t>
            </w:r>
            <w:r w:rsidR="004E52B3" w:rsidRPr="00827E5B">
              <w:rPr>
                <w:rFonts w:ascii="Arial" w:hAnsi="Arial" w:cs="Arial"/>
                <w:sz w:val="22"/>
                <w:szCs w:val="22"/>
              </w:rPr>
              <w:t>zakonodaje</w:t>
            </w:r>
            <w:r w:rsidR="00A67C34" w:rsidRPr="00827E5B">
              <w:rPr>
                <w:rFonts w:ascii="Arial" w:hAnsi="Arial" w:cs="Arial"/>
                <w:sz w:val="22"/>
                <w:szCs w:val="22"/>
              </w:rPr>
              <w:t xml:space="preserve"> ter predpisov s področja  </w:t>
            </w:r>
            <w:r w:rsidR="004E52B3" w:rsidRPr="00827E5B">
              <w:rPr>
                <w:rFonts w:ascii="Arial" w:hAnsi="Arial" w:cs="Arial"/>
                <w:sz w:val="22"/>
                <w:szCs w:val="22"/>
              </w:rPr>
              <w:t>finančnega sistema in javnih financ.</w:t>
            </w:r>
          </w:p>
        </w:tc>
        <w:tc>
          <w:tcPr>
            <w:tcW w:w="142" w:type="dxa"/>
            <w:tcBorders>
              <w:top w:val="nil"/>
              <w:left w:val="single" w:sz="4" w:space="0" w:color="auto"/>
              <w:bottom w:val="nil"/>
              <w:right w:val="single" w:sz="4" w:space="0" w:color="auto"/>
            </w:tcBorders>
          </w:tcPr>
          <w:p w14:paraId="47FF3761" w14:textId="77777777" w:rsidR="007E52D4" w:rsidRPr="00827E5B" w:rsidRDefault="007E52D4" w:rsidP="009D7A57">
            <w:pPr>
              <w:rPr>
                <w:rFonts w:ascii="Arial" w:hAnsi="Arial" w:cs="Arial"/>
                <w:sz w:val="22"/>
                <w:szCs w:val="22"/>
              </w:rPr>
            </w:pPr>
          </w:p>
          <w:p w14:paraId="24FC540A" w14:textId="77777777" w:rsidR="007E52D4" w:rsidRPr="00827E5B" w:rsidRDefault="007E52D4" w:rsidP="009D7A57">
            <w:pPr>
              <w:rPr>
                <w:rFonts w:ascii="Arial" w:hAnsi="Arial" w:cs="Arial"/>
                <w:sz w:val="22"/>
                <w:szCs w:val="22"/>
              </w:rPr>
            </w:pPr>
          </w:p>
          <w:p w14:paraId="7F30C843" w14:textId="77777777" w:rsidR="007E52D4" w:rsidRPr="00827E5B" w:rsidRDefault="007E52D4" w:rsidP="009D7A57">
            <w:pPr>
              <w:rPr>
                <w:rFonts w:ascii="Arial" w:hAnsi="Arial" w:cs="Arial"/>
                <w:sz w:val="22"/>
                <w:szCs w:val="22"/>
              </w:rPr>
            </w:pPr>
          </w:p>
        </w:tc>
        <w:tc>
          <w:tcPr>
            <w:tcW w:w="4823" w:type="dxa"/>
            <w:gridSpan w:val="2"/>
            <w:tcBorders>
              <w:top w:val="single" w:sz="4" w:space="0" w:color="auto"/>
              <w:left w:val="single" w:sz="4" w:space="0" w:color="auto"/>
              <w:bottom w:val="nil"/>
              <w:right w:val="single" w:sz="4" w:space="0" w:color="auto"/>
            </w:tcBorders>
          </w:tcPr>
          <w:p w14:paraId="0D7FC13B" w14:textId="77777777" w:rsidR="007E52D4" w:rsidRPr="00827E5B" w:rsidRDefault="007E52D4" w:rsidP="009D7A57">
            <w:pPr>
              <w:rPr>
                <w:rFonts w:ascii="Arial" w:hAnsi="Arial" w:cs="Arial"/>
                <w:sz w:val="22"/>
                <w:szCs w:val="22"/>
                <w:lang w:val="en-US"/>
              </w:rPr>
            </w:pPr>
            <w:r w:rsidRPr="00827E5B">
              <w:rPr>
                <w:rFonts w:ascii="Arial" w:hAnsi="Arial" w:cs="Arial"/>
                <w:sz w:val="22"/>
                <w:szCs w:val="22"/>
                <w:lang w:val="en-US"/>
              </w:rPr>
              <w:t>Knowledge and understanding:</w:t>
            </w:r>
          </w:p>
          <w:p w14:paraId="7924B6E4" w14:textId="77777777" w:rsidR="007E52D4" w:rsidRPr="00827E5B" w:rsidRDefault="007E52D4" w:rsidP="009D7A57">
            <w:pPr>
              <w:rPr>
                <w:rFonts w:ascii="Arial" w:hAnsi="Arial" w:cs="Arial"/>
                <w:sz w:val="22"/>
                <w:szCs w:val="22"/>
                <w:lang w:val="en-US"/>
              </w:rPr>
            </w:pPr>
          </w:p>
          <w:p w14:paraId="10894D74" w14:textId="4FDFA899" w:rsidR="007E52D4" w:rsidRPr="00827E5B" w:rsidRDefault="00240AD3" w:rsidP="003D2041">
            <w:pPr>
              <w:rPr>
                <w:rFonts w:ascii="Arial" w:hAnsi="Arial" w:cs="Arial"/>
                <w:sz w:val="22"/>
                <w:szCs w:val="22"/>
                <w:lang w:val="en-US"/>
              </w:rPr>
            </w:pPr>
            <w:r w:rsidRPr="00827E5B">
              <w:rPr>
                <w:rFonts w:ascii="Arial" w:hAnsi="Arial" w:cs="Arial"/>
                <w:sz w:val="22"/>
                <w:szCs w:val="22"/>
                <w:lang w:val="en-US"/>
              </w:rPr>
              <w:t xml:space="preserve">Students </w:t>
            </w:r>
            <w:r w:rsidR="00C31E40" w:rsidRPr="00827E5B">
              <w:rPr>
                <w:rFonts w:ascii="Arial" w:hAnsi="Arial" w:cs="Arial"/>
                <w:sz w:val="22"/>
                <w:szCs w:val="22"/>
                <w:lang w:val="en-US"/>
              </w:rPr>
              <w:t xml:space="preserve">gain understanding of basic economic and legal concepts of </w:t>
            </w:r>
            <w:r w:rsidR="00BB01A3">
              <w:rPr>
                <w:rFonts w:ascii="Arial" w:hAnsi="Arial" w:cs="Arial"/>
                <w:sz w:val="22"/>
                <w:szCs w:val="22"/>
                <w:lang w:val="en-US"/>
              </w:rPr>
              <w:t xml:space="preserve">financial reporting, </w:t>
            </w:r>
            <w:r w:rsidR="00C31E40" w:rsidRPr="00827E5B">
              <w:rPr>
                <w:rFonts w:ascii="Arial" w:hAnsi="Arial" w:cs="Arial"/>
                <w:sz w:val="22"/>
                <w:szCs w:val="22"/>
                <w:lang w:val="en-US"/>
              </w:rPr>
              <w:t xml:space="preserve">corporate finance, taxes and social contributions. After completing their obligations students are </w:t>
            </w:r>
            <w:r w:rsidR="003D2041" w:rsidRPr="00827E5B">
              <w:rPr>
                <w:rFonts w:ascii="Arial" w:hAnsi="Arial" w:cs="Arial"/>
                <w:sz w:val="22"/>
                <w:szCs w:val="22"/>
                <w:lang w:val="en-US"/>
              </w:rPr>
              <w:t>capable of argumentative interpretation of legislative provisions and of following and analyzing Slovene practice.</w:t>
            </w:r>
          </w:p>
          <w:p w14:paraId="7E6D2218" w14:textId="77777777" w:rsidR="003D2041" w:rsidRPr="00827E5B" w:rsidRDefault="003D2041" w:rsidP="003D2041">
            <w:pPr>
              <w:rPr>
                <w:rFonts w:ascii="Arial" w:hAnsi="Arial" w:cs="Arial"/>
                <w:sz w:val="22"/>
                <w:szCs w:val="22"/>
                <w:lang w:val="en-US"/>
              </w:rPr>
            </w:pPr>
          </w:p>
          <w:p w14:paraId="3BC1F372" w14:textId="77777777" w:rsidR="003D2041" w:rsidRPr="00827E5B" w:rsidRDefault="003D2041" w:rsidP="00F2098F">
            <w:pPr>
              <w:rPr>
                <w:rFonts w:ascii="Arial" w:hAnsi="Arial" w:cs="Arial"/>
                <w:sz w:val="22"/>
                <w:szCs w:val="22"/>
                <w:lang w:val="en-US"/>
              </w:rPr>
            </w:pPr>
            <w:r w:rsidRPr="00827E5B">
              <w:rPr>
                <w:rFonts w:ascii="Arial" w:hAnsi="Arial" w:cs="Arial"/>
                <w:sz w:val="22"/>
                <w:szCs w:val="22"/>
                <w:lang w:val="en-US"/>
              </w:rPr>
              <w:t>Students link the acquired knowledge mainly with other courses in the field of economics, commercial law and social security law. The course assures the contextual groundwork for understanding of corporate and insolvency law as well as regulations</w:t>
            </w:r>
            <w:r w:rsidR="00F2098F" w:rsidRPr="00827E5B">
              <w:rPr>
                <w:rFonts w:ascii="Arial" w:hAnsi="Arial" w:cs="Arial"/>
                <w:sz w:val="22"/>
                <w:szCs w:val="22"/>
                <w:lang w:val="en-US"/>
              </w:rPr>
              <w:t xml:space="preserve"> in the field of the financial system and public finance. </w:t>
            </w:r>
          </w:p>
        </w:tc>
      </w:tr>
      <w:tr w:rsidR="007E52D4" w:rsidRPr="00827E5B" w14:paraId="2EC4AC93" w14:textId="77777777" w:rsidTr="009D7A57">
        <w:trPr>
          <w:trHeight w:val="1417"/>
        </w:trPr>
        <w:tc>
          <w:tcPr>
            <w:tcW w:w="4730" w:type="dxa"/>
            <w:gridSpan w:val="3"/>
            <w:tcBorders>
              <w:top w:val="nil"/>
              <w:left w:val="single" w:sz="4" w:space="0" w:color="auto"/>
              <w:bottom w:val="single" w:sz="4" w:space="0" w:color="auto"/>
              <w:right w:val="single" w:sz="4" w:space="0" w:color="auto"/>
            </w:tcBorders>
          </w:tcPr>
          <w:p w14:paraId="4F7B2925" w14:textId="77777777" w:rsidR="007E52D4" w:rsidRPr="00827E5B" w:rsidRDefault="007E52D4" w:rsidP="009D7A57">
            <w:pPr>
              <w:rPr>
                <w:rFonts w:ascii="Arial" w:hAnsi="Arial" w:cs="Arial"/>
                <w:sz w:val="22"/>
                <w:szCs w:val="22"/>
              </w:rPr>
            </w:pPr>
          </w:p>
        </w:tc>
        <w:tc>
          <w:tcPr>
            <w:tcW w:w="142" w:type="dxa"/>
            <w:tcBorders>
              <w:top w:val="nil"/>
              <w:left w:val="single" w:sz="4" w:space="0" w:color="auto"/>
              <w:bottom w:val="nil"/>
              <w:right w:val="single" w:sz="4" w:space="0" w:color="auto"/>
            </w:tcBorders>
          </w:tcPr>
          <w:p w14:paraId="42E65F69" w14:textId="77777777" w:rsidR="007E52D4" w:rsidRPr="00827E5B" w:rsidRDefault="007E52D4" w:rsidP="009D7A57">
            <w:pPr>
              <w:rPr>
                <w:rFonts w:ascii="Arial" w:hAnsi="Arial" w:cs="Arial"/>
                <w:b/>
                <w:sz w:val="22"/>
                <w:szCs w:val="22"/>
              </w:rPr>
            </w:pPr>
          </w:p>
        </w:tc>
        <w:tc>
          <w:tcPr>
            <w:tcW w:w="4823" w:type="dxa"/>
            <w:gridSpan w:val="2"/>
            <w:tcBorders>
              <w:top w:val="nil"/>
              <w:left w:val="single" w:sz="4" w:space="0" w:color="auto"/>
              <w:bottom w:val="single" w:sz="4" w:space="0" w:color="auto"/>
              <w:right w:val="single" w:sz="4" w:space="0" w:color="auto"/>
            </w:tcBorders>
          </w:tcPr>
          <w:p w14:paraId="1AE7195C" w14:textId="77777777" w:rsidR="007E52D4" w:rsidRPr="00827E5B" w:rsidRDefault="007E52D4" w:rsidP="009D7A57">
            <w:pPr>
              <w:rPr>
                <w:rFonts w:ascii="Arial" w:hAnsi="Arial" w:cs="Arial"/>
                <w:sz w:val="22"/>
                <w:szCs w:val="22"/>
              </w:rPr>
            </w:pPr>
          </w:p>
        </w:tc>
      </w:tr>
      <w:tr w:rsidR="007E52D4" w:rsidRPr="00827E5B" w14:paraId="722901C9" w14:textId="77777777" w:rsidTr="009D7A57">
        <w:tc>
          <w:tcPr>
            <w:tcW w:w="4730" w:type="dxa"/>
            <w:gridSpan w:val="3"/>
            <w:tcBorders>
              <w:top w:val="nil"/>
              <w:left w:val="nil"/>
              <w:bottom w:val="single" w:sz="4" w:space="0" w:color="auto"/>
              <w:right w:val="nil"/>
            </w:tcBorders>
          </w:tcPr>
          <w:p w14:paraId="4A1D4830" w14:textId="61AE2B54" w:rsidR="007E52D4" w:rsidRDefault="007E52D4" w:rsidP="009D7A57">
            <w:pPr>
              <w:rPr>
                <w:rFonts w:ascii="Arial" w:hAnsi="Arial" w:cs="Arial"/>
                <w:b/>
                <w:sz w:val="22"/>
                <w:szCs w:val="22"/>
              </w:rPr>
            </w:pPr>
          </w:p>
          <w:p w14:paraId="71C1223C" w14:textId="194B4725" w:rsidR="00496250" w:rsidRDefault="00496250" w:rsidP="009D7A57">
            <w:pPr>
              <w:rPr>
                <w:rFonts w:ascii="Arial" w:hAnsi="Arial" w:cs="Arial"/>
                <w:b/>
                <w:sz w:val="22"/>
                <w:szCs w:val="22"/>
              </w:rPr>
            </w:pPr>
          </w:p>
          <w:p w14:paraId="77F506EB" w14:textId="77777777" w:rsidR="00496250" w:rsidRPr="00827E5B" w:rsidRDefault="00496250" w:rsidP="009D7A57">
            <w:pPr>
              <w:rPr>
                <w:rFonts w:ascii="Arial" w:hAnsi="Arial" w:cs="Arial"/>
                <w:b/>
                <w:sz w:val="22"/>
                <w:szCs w:val="22"/>
              </w:rPr>
            </w:pPr>
          </w:p>
          <w:p w14:paraId="60672989" w14:textId="77777777" w:rsidR="007E52D4" w:rsidRPr="00827E5B" w:rsidRDefault="007E52D4" w:rsidP="009D7A57">
            <w:pPr>
              <w:rPr>
                <w:rFonts w:ascii="Arial" w:hAnsi="Arial" w:cs="Arial"/>
                <w:b/>
                <w:sz w:val="22"/>
                <w:szCs w:val="22"/>
              </w:rPr>
            </w:pPr>
            <w:r w:rsidRPr="00827E5B">
              <w:rPr>
                <w:rFonts w:ascii="Arial" w:hAnsi="Arial" w:cs="Arial"/>
                <w:b/>
                <w:sz w:val="22"/>
                <w:szCs w:val="22"/>
              </w:rPr>
              <w:t>Metode poučevanja in učenja:</w:t>
            </w:r>
          </w:p>
        </w:tc>
        <w:tc>
          <w:tcPr>
            <w:tcW w:w="142" w:type="dxa"/>
          </w:tcPr>
          <w:p w14:paraId="70B14D46" w14:textId="77777777" w:rsidR="007E52D4" w:rsidRPr="00827E5B" w:rsidRDefault="007E52D4" w:rsidP="009D7A57">
            <w:pPr>
              <w:rPr>
                <w:rFonts w:ascii="Arial" w:hAnsi="Arial" w:cs="Arial"/>
                <w:b/>
                <w:sz w:val="22"/>
                <w:szCs w:val="22"/>
              </w:rPr>
            </w:pPr>
          </w:p>
          <w:p w14:paraId="5CEE74D5" w14:textId="77777777" w:rsidR="007E52D4" w:rsidRPr="00827E5B" w:rsidRDefault="007E52D4" w:rsidP="009D7A57">
            <w:pPr>
              <w:rPr>
                <w:rFonts w:ascii="Arial" w:hAnsi="Arial" w:cs="Arial"/>
                <w:b/>
                <w:sz w:val="22"/>
                <w:szCs w:val="22"/>
              </w:rPr>
            </w:pPr>
          </w:p>
        </w:tc>
        <w:tc>
          <w:tcPr>
            <w:tcW w:w="4823" w:type="dxa"/>
            <w:gridSpan w:val="2"/>
            <w:tcBorders>
              <w:top w:val="nil"/>
              <w:left w:val="nil"/>
              <w:bottom w:val="single" w:sz="4" w:space="0" w:color="auto"/>
              <w:right w:val="nil"/>
            </w:tcBorders>
          </w:tcPr>
          <w:p w14:paraId="4304F9B4" w14:textId="77777777" w:rsidR="007E52D4" w:rsidRPr="00827E5B" w:rsidRDefault="007E52D4" w:rsidP="009D7A57">
            <w:pPr>
              <w:rPr>
                <w:rFonts w:ascii="Arial" w:hAnsi="Arial" w:cs="Arial"/>
                <w:b/>
                <w:sz w:val="22"/>
                <w:szCs w:val="22"/>
              </w:rPr>
            </w:pPr>
          </w:p>
          <w:p w14:paraId="41E4A494" w14:textId="77777777" w:rsidR="00496250" w:rsidRDefault="00496250" w:rsidP="009D7A57">
            <w:pPr>
              <w:rPr>
                <w:rFonts w:ascii="Arial" w:hAnsi="Arial" w:cs="Arial"/>
                <w:b/>
                <w:sz w:val="22"/>
                <w:szCs w:val="22"/>
              </w:rPr>
            </w:pPr>
          </w:p>
          <w:p w14:paraId="0E49E8F3" w14:textId="77777777" w:rsidR="00496250" w:rsidRDefault="00496250" w:rsidP="009D7A57">
            <w:pPr>
              <w:rPr>
                <w:rFonts w:ascii="Arial" w:hAnsi="Arial" w:cs="Arial"/>
                <w:b/>
                <w:sz w:val="22"/>
                <w:szCs w:val="22"/>
              </w:rPr>
            </w:pPr>
          </w:p>
          <w:p w14:paraId="30EC3E91" w14:textId="7B8A9382" w:rsidR="007E52D4" w:rsidRPr="00827E5B" w:rsidRDefault="007E52D4" w:rsidP="009D7A57">
            <w:pPr>
              <w:rPr>
                <w:rFonts w:ascii="Arial" w:hAnsi="Arial" w:cs="Arial"/>
                <w:b/>
                <w:sz w:val="22"/>
                <w:szCs w:val="22"/>
              </w:rPr>
            </w:pPr>
            <w:r w:rsidRPr="00827E5B">
              <w:rPr>
                <w:rFonts w:ascii="Arial" w:hAnsi="Arial" w:cs="Arial"/>
                <w:b/>
                <w:sz w:val="22"/>
                <w:szCs w:val="22"/>
              </w:rPr>
              <w:t>Learning and teaching methods:</w:t>
            </w:r>
          </w:p>
        </w:tc>
      </w:tr>
      <w:tr w:rsidR="007E52D4" w:rsidRPr="00827E5B" w14:paraId="0E45BD9A" w14:textId="77777777" w:rsidTr="009D7A57">
        <w:trPr>
          <w:trHeight w:val="2023"/>
        </w:trPr>
        <w:tc>
          <w:tcPr>
            <w:tcW w:w="4730" w:type="dxa"/>
            <w:gridSpan w:val="3"/>
            <w:tcBorders>
              <w:top w:val="single" w:sz="4" w:space="0" w:color="auto"/>
              <w:left w:val="single" w:sz="4" w:space="0" w:color="auto"/>
              <w:bottom w:val="single" w:sz="4" w:space="0" w:color="auto"/>
              <w:right w:val="single" w:sz="4" w:space="0" w:color="auto"/>
            </w:tcBorders>
          </w:tcPr>
          <w:p w14:paraId="2A36764E" w14:textId="3FCD8F18" w:rsidR="007E52D4" w:rsidRPr="00827E5B" w:rsidRDefault="00644F57" w:rsidP="00D852FF">
            <w:pPr>
              <w:rPr>
                <w:rFonts w:ascii="Arial" w:hAnsi="Arial" w:cs="Arial"/>
                <w:sz w:val="22"/>
                <w:szCs w:val="22"/>
              </w:rPr>
            </w:pPr>
            <w:r w:rsidRPr="00827E5B">
              <w:rPr>
                <w:rFonts w:ascii="Arial" w:hAnsi="Arial" w:cs="Arial"/>
                <w:sz w:val="22"/>
                <w:szCs w:val="22"/>
              </w:rPr>
              <w:t>P</w:t>
            </w:r>
            <w:r w:rsidR="00A67C34" w:rsidRPr="00827E5B">
              <w:rPr>
                <w:rFonts w:ascii="Arial" w:hAnsi="Arial" w:cs="Arial"/>
                <w:sz w:val="22"/>
                <w:szCs w:val="22"/>
              </w:rPr>
              <w:t xml:space="preserve">redavanja: </w:t>
            </w:r>
            <w:r w:rsidR="00D852FF" w:rsidRPr="00827E5B">
              <w:rPr>
                <w:rFonts w:ascii="Arial" w:hAnsi="Arial" w:cs="Arial"/>
                <w:sz w:val="22"/>
                <w:szCs w:val="22"/>
              </w:rPr>
              <w:t>razlaga</w:t>
            </w:r>
            <w:r w:rsidR="00086CC1" w:rsidRPr="00827E5B">
              <w:rPr>
                <w:rFonts w:ascii="Arial" w:hAnsi="Arial" w:cs="Arial"/>
                <w:sz w:val="22"/>
                <w:szCs w:val="22"/>
              </w:rPr>
              <w:t xml:space="preserve"> t</w:t>
            </w:r>
            <w:r w:rsidR="00A67C34" w:rsidRPr="00827E5B">
              <w:rPr>
                <w:rFonts w:ascii="Arial" w:hAnsi="Arial" w:cs="Arial"/>
                <w:sz w:val="22"/>
                <w:szCs w:val="22"/>
              </w:rPr>
              <w:t xml:space="preserve">emeljnih teoretičnih konceptov, </w:t>
            </w:r>
            <w:r w:rsidR="00D852FF" w:rsidRPr="00827E5B">
              <w:rPr>
                <w:rFonts w:ascii="Arial" w:hAnsi="Arial" w:cs="Arial"/>
                <w:sz w:val="22"/>
                <w:szCs w:val="22"/>
              </w:rPr>
              <w:t>analiza ureditve</w:t>
            </w:r>
            <w:r w:rsidR="00086CC1" w:rsidRPr="00827E5B">
              <w:rPr>
                <w:rFonts w:ascii="Arial" w:hAnsi="Arial" w:cs="Arial"/>
                <w:sz w:val="22"/>
                <w:szCs w:val="22"/>
              </w:rPr>
              <w:t xml:space="preserve"> v slovenskem pravnem redu </w:t>
            </w:r>
            <w:r w:rsidR="00A67C34" w:rsidRPr="00827E5B">
              <w:rPr>
                <w:rFonts w:ascii="Arial" w:hAnsi="Arial" w:cs="Arial"/>
                <w:sz w:val="22"/>
                <w:szCs w:val="22"/>
              </w:rPr>
              <w:t>in obravnava primerov iz prakse.</w:t>
            </w:r>
          </w:p>
        </w:tc>
        <w:tc>
          <w:tcPr>
            <w:tcW w:w="142" w:type="dxa"/>
            <w:tcBorders>
              <w:top w:val="nil"/>
              <w:left w:val="single" w:sz="4" w:space="0" w:color="auto"/>
              <w:bottom w:val="nil"/>
              <w:right w:val="single" w:sz="4" w:space="0" w:color="auto"/>
            </w:tcBorders>
          </w:tcPr>
          <w:p w14:paraId="06655299" w14:textId="77777777" w:rsidR="007E52D4" w:rsidRPr="00827E5B" w:rsidRDefault="007E52D4" w:rsidP="009D7A57">
            <w:pPr>
              <w:rPr>
                <w:rFonts w:ascii="Arial" w:hAnsi="Arial" w:cs="Arial"/>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14:paraId="781E7D43" w14:textId="77777777" w:rsidR="007E52D4" w:rsidRPr="00827E5B" w:rsidRDefault="00D852FF" w:rsidP="00D852FF">
            <w:pPr>
              <w:rPr>
                <w:rFonts w:ascii="Arial" w:hAnsi="Arial" w:cs="Arial"/>
                <w:sz w:val="22"/>
                <w:szCs w:val="22"/>
                <w:lang w:val="en-US"/>
              </w:rPr>
            </w:pPr>
            <w:r w:rsidRPr="00827E5B">
              <w:rPr>
                <w:rFonts w:ascii="Arial" w:hAnsi="Arial" w:cs="Arial"/>
                <w:sz w:val="22"/>
                <w:szCs w:val="22"/>
                <w:lang w:val="en-US"/>
              </w:rPr>
              <w:t>Lectures: explanation</w:t>
            </w:r>
            <w:r w:rsidR="00442C4E" w:rsidRPr="00827E5B">
              <w:rPr>
                <w:rFonts w:ascii="Arial" w:hAnsi="Arial" w:cs="Arial"/>
                <w:sz w:val="22"/>
                <w:szCs w:val="22"/>
                <w:lang w:val="en-US"/>
              </w:rPr>
              <w:t>s</w:t>
            </w:r>
            <w:r w:rsidRPr="00827E5B">
              <w:rPr>
                <w:rFonts w:ascii="Arial" w:hAnsi="Arial" w:cs="Arial"/>
                <w:sz w:val="22"/>
                <w:szCs w:val="22"/>
                <w:lang w:val="en-US"/>
              </w:rPr>
              <w:t xml:space="preserve"> of basic theoretical concepts, analysis of the arrangements in the Slovenian legal order an</w:t>
            </w:r>
            <w:r w:rsidR="00442C4E" w:rsidRPr="00827E5B">
              <w:rPr>
                <w:rFonts w:ascii="Arial" w:hAnsi="Arial" w:cs="Arial"/>
                <w:sz w:val="22"/>
                <w:szCs w:val="22"/>
                <w:lang w:val="en-US"/>
              </w:rPr>
              <w:t>d discussions</w:t>
            </w:r>
            <w:r w:rsidRPr="00827E5B">
              <w:rPr>
                <w:rFonts w:ascii="Arial" w:hAnsi="Arial" w:cs="Arial"/>
                <w:sz w:val="22"/>
                <w:szCs w:val="22"/>
                <w:lang w:val="en-US"/>
              </w:rPr>
              <w:t xml:space="preserve"> of cases from practice. </w:t>
            </w:r>
          </w:p>
          <w:p w14:paraId="44B870B2" w14:textId="77777777" w:rsidR="00CC68CA" w:rsidRPr="00827E5B" w:rsidRDefault="00CC68CA" w:rsidP="00D852FF">
            <w:pPr>
              <w:rPr>
                <w:rFonts w:ascii="Arial" w:hAnsi="Arial" w:cs="Arial"/>
                <w:sz w:val="22"/>
                <w:szCs w:val="22"/>
                <w:lang w:val="en-US"/>
              </w:rPr>
            </w:pPr>
          </w:p>
          <w:p w14:paraId="72C83228" w14:textId="77777777" w:rsidR="00CC68CA" w:rsidRPr="00827E5B" w:rsidRDefault="00CC68CA" w:rsidP="00D852FF">
            <w:pPr>
              <w:rPr>
                <w:rFonts w:ascii="Arial" w:hAnsi="Arial" w:cs="Arial"/>
                <w:sz w:val="22"/>
                <w:szCs w:val="22"/>
                <w:lang w:val="en-US"/>
              </w:rPr>
            </w:pPr>
          </w:p>
          <w:p w14:paraId="05390C0A" w14:textId="77777777" w:rsidR="00CC68CA" w:rsidRPr="00827E5B" w:rsidRDefault="00CC68CA" w:rsidP="00D852FF">
            <w:pPr>
              <w:rPr>
                <w:rFonts w:ascii="Arial" w:hAnsi="Arial" w:cs="Arial"/>
                <w:sz w:val="22"/>
                <w:szCs w:val="22"/>
                <w:lang w:val="en-US"/>
              </w:rPr>
            </w:pPr>
          </w:p>
          <w:p w14:paraId="788F977F" w14:textId="77777777" w:rsidR="00CC68CA" w:rsidRPr="00827E5B" w:rsidRDefault="00CC68CA" w:rsidP="00D852FF">
            <w:pPr>
              <w:rPr>
                <w:rFonts w:ascii="Arial" w:hAnsi="Arial" w:cs="Arial"/>
                <w:sz w:val="22"/>
                <w:szCs w:val="22"/>
                <w:lang w:val="en-US"/>
              </w:rPr>
            </w:pPr>
          </w:p>
          <w:p w14:paraId="37B3E85C" w14:textId="77777777" w:rsidR="00CC68CA" w:rsidRPr="00827E5B" w:rsidRDefault="00CC68CA" w:rsidP="00D852FF">
            <w:pPr>
              <w:rPr>
                <w:rFonts w:ascii="Arial" w:hAnsi="Arial" w:cs="Arial"/>
                <w:sz w:val="22"/>
                <w:szCs w:val="22"/>
                <w:lang w:val="en-US"/>
              </w:rPr>
            </w:pPr>
          </w:p>
          <w:p w14:paraId="0BE5E9C4" w14:textId="77777777" w:rsidR="00CC68CA" w:rsidRPr="00827E5B" w:rsidRDefault="00CC68CA" w:rsidP="00D852FF">
            <w:pPr>
              <w:rPr>
                <w:rFonts w:ascii="Arial" w:hAnsi="Arial" w:cs="Arial"/>
                <w:sz w:val="22"/>
                <w:szCs w:val="22"/>
                <w:lang w:val="en-US"/>
              </w:rPr>
            </w:pPr>
          </w:p>
        </w:tc>
      </w:tr>
      <w:tr w:rsidR="007E52D4" w:rsidRPr="00827E5B" w14:paraId="6B7F5D8C" w14:textId="77777777" w:rsidTr="009D7A57">
        <w:tc>
          <w:tcPr>
            <w:tcW w:w="4023" w:type="dxa"/>
            <w:tcBorders>
              <w:top w:val="nil"/>
              <w:left w:val="nil"/>
              <w:bottom w:val="single" w:sz="4" w:space="0" w:color="auto"/>
              <w:right w:val="nil"/>
            </w:tcBorders>
          </w:tcPr>
          <w:p w14:paraId="248775AB" w14:textId="77777777" w:rsidR="007E52D4" w:rsidRPr="00827E5B" w:rsidRDefault="007E52D4" w:rsidP="009D7A57">
            <w:pPr>
              <w:rPr>
                <w:rFonts w:ascii="Arial" w:hAnsi="Arial" w:cs="Arial"/>
                <w:b/>
                <w:sz w:val="22"/>
                <w:szCs w:val="22"/>
              </w:rPr>
            </w:pPr>
          </w:p>
          <w:p w14:paraId="7BB9E7DA" w14:textId="77777777" w:rsidR="007E52D4" w:rsidRPr="00827E5B" w:rsidRDefault="007E52D4" w:rsidP="009D7A57">
            <w:pPr>
              <w:rPr>
                <w:rFonts w:ascii="Arial" w:hAnsi="Arial" w:cs="Arial"/>
                <w:b/>
                <w:sz w:val="22"/>
                <w:szCs w:val="22"/>
              </w:rPr>
            </w:pPr>
            <w:r w:rsidRPr="00827E5B">
              <w:rPr>
                <w:rFonts w:ascii="Arial" w:hAnsi="Arial" w:cs="Arial"/>
                <w:b/>
                <w:sz w:val="22"/>
                <w:szCs w:val="22"/>
              </w:rPr>
              <w:t>Načini ocenjevanja:</w:t>
            </w:r>
          </w:p>
        </w:tc>
        <w:tc>
          <w:tcPr>
            <w:tcW w:w="1560" w:type="dxa"/>
            <w:gridSpan w:val="4"/>
            <w:tcBorders>
              <w:top w:val="nil"/>
              <w:left w:val="nil"/>
              <w:bottom w:val="single" w:sz="4" w:space="0" w:color="auto"/>
              <w:right w:val="nil"/>
            </w:tcBorders>
          </w:tcPr>
          <w:p w14:paraId="26008205" w14:textId="77777777" w:rsidR="007E52D4" w:rsidRPr="00827E5B" w:rsidRDefault="007E52D4" w:rsidP="009D7A57">
            <w:pPr>
              <w:rPr>
                <w:rFonts w:ascii="Arial" w:hAnsi="Arial" w:cs="Arial"/>
                <w:sz w:val="22"/>
                <w:szCs w:val="22"/>
              </w:rPr>
            </w:pPr>
            <w:r w:rsidRPr="00827E5B">
              <w:rPr>
                <w:rFonts w:ascii="Arial" w:hAnsi="Arial" w:cs="Arial"/>
                <w:sz w:val="22"/>
                <w:szCs w:val="22"/>
              </w:rPr>
              <w:t>Delež (v %) /</w:t>
            </w:r>
          </w:p>
          <w:p w14:paraId="7C88BBFA" w14:textId="77777777" w:rsidR="007E52D4" w:rsidRPr="00827E5B" w:rsidRDefault="007E52D4" w:rsidP="009D7A57">
            <w:pPr>
              <w:rPr>
                <w:rFonts w:ascii="Arial" w:hAnsi="Arial" w:cs="Arial"/>
                <w:b/>
                <w:sz w:val="22"/>
                <w:szCs w:val="22"/>
              </w:rPr>
            </w:pPr>
            <w:r w:rsidRPr="00827E5B">
              <w:rPr>
                <w:rFonts w:ascii="Arial" w:hAnsi="Arial" w:cs="Arial"/>
                <w:sz w:val="22"/>
                <w:szCs w:val="22"/>
              </w:rPr>
              <w:t>Weight (in %)</w:t>
            </w:r>
          </w:p>
        </w:tc>
        <w:tc>
          <w:tcPr>
            <w:tcW w:w="4112" w:type="dxa"/>
            <w:tcBorders>
              <w:top w:val="nil"/>
              <w:left w:val="nil"/>
              <w:bottom w:val="single" w:sz="4" w:space="0" w:color="auto"/>
              <w:right w:val="nil"/>
            </w:tcBorders>
          </w:tcPr>
          <w:p w14:paraId="24A04E92" w14:textId="77777777" w:rsidR="007E52D4" w:rsidRPr="00827E5B" w:rsidRDefault="007E52D4" w:rsidP="009D7A57">
            <w:pPr>
              <w:rPr>
                <w:rFonts w:ascii="Arial" w:hAnsi="Arial" w:cs="Arial"/>
                <w:b/>
                <w:sz w:val="22"/>
                <w:szCs w:val="22"/>
              </w:rPr>
            </w:pPr>
          </w:p>
          <w:p w14:paraId="34F30E7B" w14:textId="77777777" w:rsidR="007E52D4" w:rsidRPr="00827E5B" w:rsidRDefault="007E52D4" w:rsidP="009D7A57">
            <w:pPr>
              <w:rPr>
                <w:rFonts w:ascii="Arial" w:hAnsi="Arial" w:cs="Arial"/>
                <w:b/>
                <w:sz w:val="22"/>
                <w:szCs w:val="22"/>
              </w:rPr>
            </w:pPr>
            <w:r w:rsidRPr="00827E5B">
              <w:rPr>
                <w:rFonts w:ascii="Arial" w:hAnsi="Arial" w:cs="Arial"/>
                <w:b/>
                <w:sz w:val="22"/>
                <w:szCs w:val="22"/>
              </w:rPr>
              <w:t>Assessment:</w:t>
            </w:r>
          </w:p>
        </w:tc>
      </w:tr>
      <w:tr w:rsidR="007E52D4" w:rsidRPr="00827E5B" w14:paraId="52441890" w14:textId="77777777" w:rsidTr="009D7A57">
        <w:trPr>
          <w:trHeight w:val="1104"/>
        </w:trPr>
        <w:tc>
          <w:tcPr>
            <w:tcW w:w="4023" w:type="dxa"/>
            <w:tcBorders>
              <w:top w:val="single" w:sz="4" w:space="0" w:color="auto"/>
              <w:left w:val="single" w:sz="4" w:space="0" w:color="auto"/>
              <w:bottom w:val="single" w:sz="4" w:space="0" w:color="auto"/>
              <w:right w:val="single" w:sz="4" w:space="0" w:color="auto"/>
            </w:tcBorders>
          </w:tcPr>
          <w:p w14:paraId="1034AE09" w14:textId="77777777" w:rsidR="00086CC1" w:rsidRPr="00827E5B" w:rsidRDefault="00644F57" w:rsidP="00086CC1">
            <w:pPr>
              <w:rPr>
                <w:rFonts w:ascii="Arial" w:hAnsi="Arial" w:cs="Arial"/>
                <w:sz w:val="22"/>
                <w:szCs w:val="22"/>
              </w:rPr>
            </w:pPr>
            <w:r w:rsidRPr="00827E5B">
              <w:rPr>
                <w:rFonts w:ascii="Arial" w:hAnsi="Arial" w:cs="Arial"/>
                <w:sz w:val="22"/>
                <w:szCs w:val="22"/>
              </w:rPr>
              <w:t>Pisni izpit.</w:t>
            </w:r>
          </w:p>
          <w:p w14:paraId="2CC398EB" w14:textId="77777777" w:rsidR="00827E5B" w:rsidRDefault="00827E5B" w:rsidP="00086CC1">
            <w:pPr>
              <w:rPr>
                <w:rFonts w:ascii="Arial" w:hAnsi="Arial" w:cs="Arial"/>
                <w:sz w:val="22"/>
                <w:szCs w:val="22"/>
              </w:rPr>
            </w:pPr>
          </w:p>
          <w:p w14:paraId="50055195" w14:textId="6B1FE637" w:rsidR="007E52D4" w:rsidRPr="00827E5B" w:rsidRDefault="00086CC1" w:rsidP="00086CC1">
            <w:pPr>
              <w:rPr>
                <w:rFonts w:ascii="Arial" w:hAnsi="Arial" w:cs="Arial"/>
                <w:sz w:val="22"/>
                <w:szCs w:val="22"/>
              </w:rPr>
            </w:pPr>
            <w:r w:rsidRPr="00827E5B">
              <w:rPr>
                <w:rFonts w:ascii="Arial" w:hAnsi="Arial" w:cs="Arial"/>
                <w:sz w:val="22"/>
                <w:szCs w:val="22"/>
              </w:rPr>
              <w:t xml:space="preserve">Izpit se oceni z ocenjevalno lestvico od </w:t>
            </w:r>
            <w:r w:rsidR="00B42EA4" w:rsidRPr="00827E5B">
              <w:rPr>
                <w:rFonts w:ascii="Arial" w:hAnsi="Arial" w:cs="Arial"/>
                <w:sz w:val="22"/>
                <w:szCs w:val="22"/>
              </w:rPr>
              <w:t>5</w:t>
            </w:r>
            <w:r w:rsidRPr="00827E5B">
              <w:rPr>
                <w:rFonts w:ascii="Arial" w:hAnsi="Arial" w:cs="Arial"/>
                <w:sz w:val="22"/>
                <w:szCs w:val="22"/>
              </w:rPr>
              <w:t xml:space="preserve"> </w:t>
            </w:r>
            <w:r w:rsidR="00D91581" w:rsidRPr="00827E5B">
              <w:rPr>
                <w:rFonts w:ascii="Arial" w:hAnsi="Arial" w:cs="Arial"/>
                <w:sz w:val="22"/>
                <w:szCs w:val="22"/>
              </w:rPr>
              <w:t>–</w:t>
            </w:r>
            <w:r w:rsidRPr="00827E5B">
              <w:rPr>
                <w:rFonts w:ascii="Arial" w:hAnsi="Arial" w:cs="Arial"/>
                <w:sz w:val="22"/>
                <w:szCs w:val="22"/>
              </w:rPr>
              <w:t xml:space="preserve"> 10: od 6-10 (pozitivno) oziroma </w:t>
            </w:r>
            <w:r w:rsidR="00644F57" w:rsidRPr="00827E5B">
              <w:rPr>
                <w:rFonts w:ascii="Arial" w:hAnsi="Arial" w:cs="Arial"/>
                <w:sz w:val="22"/>
                <w:szCs w:val="22"/>
              </w:rPr>
              <w:t xml:space="preserve">od </w:t>
            </w:r>
            <w:r w:rsidRPr="00827E5B">
              <w:rPr>
                <w:rFonts w:ascii="Arial" w:hAnsi="Arial" w:cs="Arial"/>
                <w:sz w:val="22"/>
                <w:szCs w:val="22"/>
              </w:rPr>
              <w:t xml:space="preserve">5 (negativno); ob upoštevanju Statuta UL in pravil Pravne fakultete. </w:t>
            </w:r>
          </w:p>
        </w:tc>
        <w:tc>
          <w:tcPr>
            <w:tcW w:w="1560" w:type="dxa"/>
            <w:gridSpan w:val="4"/>
            <w:tcBorders>
              <w:top w:val="single" w:sz="4" w:space="0" w:color="auto"/>
              <w:left w:val="single" w:sz="4" w:space="0" w:color="auto"/>
              <w:bottom w:val="single" w:sz="4" w:space="0" w:color="auto"/>
              <w:right w:val="single" w:sz="4" w:space="0" w:color="auto"/>
            </w:tcBorders>
            <w:vAlign w:val="bottom"/>
          </w:tcPr>
          <w:p w14:paraId="0F13F820" w14:textId="77777777" w:rsidR="007E52D4" w:rsidRPr="00827E5B" w:rsidRDefault="00D91581" w:rsidP="00D91581">
            <w:pPr>
              <w:jc w:val="center"/>
              <w:rPr>
                <w:rFonts w:ascii="Arial" w:hAnsi="Arial" w:cs="Arial"/>
                <w:sz w:val="22"/>
                <w:szCs w:val="22"/>
              </w:rPr>
            </w:pPr>
            <w:r w:rsidRPr="00827E5B">
              <w:rPr>
                <w:rFonts w:ascii="Arial" w:hAnsi="Arial" w:cs="Arial"/>
                <w:sz w:val="22"/>
                <w:szCs w:val="22"/>
              </w:rPr>
              <w:t>100%</w:t>
            </w:r>
          </w:p>
          <w:p w14:paraId="2913AF33" w14:textId="77777777" w:rsidR="00B42EA4" w:rsidRPr="00827E5B" w:rsidRDefault="00B42EA4" w:rsidP="00D91581">
            <w:pPr>
              <w:jc w:val="center"/>
              <w:rPr>
                <w:rFonts w:ascii="Arial" w:hAnsi="Arial" w:cs="Arial"/>
                <w:b/>
                <w:sz w:val="22"/>
                <w:szCs w:val="22"/>
              </w:rPr>
            </w:pPr>
          </w:p>
          <w:p w14:paraId="55D115DB" w14:textId="77777777" w:rsidR="00B42EA4" w:rsidRPr="00827E5B" w:rsidRDefault="00B42EA4" w:rsidP="00D91581">
            <w:pPr>
              <w:jc w:val="center"/>
              <w:rPr>
                <w:rFonts w:ascii="Arial" w:hAnsi="Arial" w:cs="Arial"/>
                <w:b/>
                <w:sz w:val="22"/>
                <w:szCs w:val="22"/>
              </w:rPr>
            </w:pPr>
          </w:p>
          <w:p w14:paraId="29E5408F" w14:textId="77777777" w:rsidR="00B42EA4" w:rsidRDefault="00B42EA4" w:rsidP="00D91581">
            <w:pPr>
              <w:jc w:val="center"/>
              <w:rPr>
                <w:rFonts w:ascii="Arial" w:hAnsi="Arial" w:cs="Arial"/>
                <w:b/>
                <w:sz w:val="22"/>
                <w:szCs w:val="22"/>
              </w:rPr>
            </w:pPr>
          </w:p>
          <w:p w14:paraId="0E57E248" w14:textId="77777777" w:rsidR="00827E5B" w:rsidRPr="00827E5B" w:rsidRDefault="00827E5B" w:rsidP="00D91581">
            <w:pPr>
              <w:jc w:val="center"/>
              <w:rPr>
                <w:rFonts w:ascii="Arial" w:hAnsi="Arial" w:cs="Arial"/>
                <w:b/>
                <w:sz w:val="22"/>
                <w:szCs w:val="22"/>
              </w:rPr>
            </w:pPr>
          </w:p>
          <w:p w14:paraId="77179173" w14:textId="514046B4" w:rsidR="00B42EA4" w:rsidRPr="00827E5B" w:rsidRDefault="00B42EA4" w:rsidP="00D91581">
            <w:pPr>
              <w:jc w:val="center"/>
              <w:rPr>
                <w:rFonts w:ascii="Arial" w:hAnsi="Arial" w:cs="Arial"/>
                <w:b/>
                <w:sz w:val="22"/>
                <w:szCs w:val="22"/>
              </w:rPr>
            </w:pPr>
          </w:p>
        </w:tc>
        <w:tc>
          <w:tcPr>
            <w:tcW w:w="4112" w:type="dxa"/>
            <w:tcBorders>
              <w:top w:val="single" w:sz="4" w:space="0" w:color="auto"/>
              <w:left w:val="single" w:sz="4" w:space="0" w:color="auto"/>
              <w:bottom w:val="single" w:sz="4" w:space="0" w:color="auto"/>
              <w:right w:val="single" w:sz="4" w:space="0" w:color="auto"/>
            </w:tcBorders>
          </w:tcPr>
          <w:p w14:paraId="5E33DE30" w14:textId="77777777" w:rsidR="00644F57" w:rsidRPr="00827E5B" w:rsidRDefault="00644F57" w:rsidP="00644F57">
            <w:pPr>
              <w:rPr>
                <w:rFonts w:ascii="Arial" w:hAnsi="Arial" w:cs="Arial"/>
                <w:sz w:val="22"/>
                <w:szCs w:val="22"/>
                <w:lang w:val="en-US"/>
              </w:rPr>
            </w:pPr>
            <w:r w:rsidRPr="00827E5B">
              <w:rPr>
                <w:rFonts w:ascii="Arial" w:hAnsi="Arial" w:cs="Arial"/>
                <w:sz w:val="22"/>
                <w:szCs w:val="22"/>
                <w:lang w:val="en-US"/>
              </w:rPr>
              <w:t>Written exam.</w:t>
            </w:r>
          </w:p>
          <w:p w14:paraId="66CE2B16" w14:textId="77777777" w:rsidR="00827E5B" w:rsidRDefault="00827E5B" w:rsidP="00644F57">
            <w:pPr>
              <w:rPr>
                <w:rFonts w:ascii="Arial" w:hAnsi="Arial" w:cs="Arial"/>
                <w:sz w:val="22"/>
                <w:szCs w:val="22"/>
                <w:lang w:val="en-US"/>
              </w:rPr>
            </w:pPr>
          </w:p>
          <w:p w14:paraId="06DFC98F" w14:textId="140B2DA2" w:rsidR="007E52D4" w:rsidRPr="00827E5B" w:rsidRDefault="00644F57" w:rsidP="00644F57">
            <w:pPr>
              <w:rPr>
                <w:rFonts w:ascii="Arial" w:hAnsi="Arial" w:cs="Arial"/>
                <w:b/>
                <w:sz w:val="22"/>
                <w:szCs w:val="22"/>
              </w:rPr>
            </w:pPr>
            <w:r w:rsidRPr="00827E5B">
              <w:rPr>
                <w:rFonts w:ascii="Arial" w:hAnsi="Arial" w:cs="Arial"/>
                <w:sz w:val="22"/>
                <w:szCs w:val="22"/>
                <w:lang w:val="en-US"/>
              </w:rPr>
              <w:t xml:space="preserve">Exam is graded on the scale </w:t>
            </w:r>
            <w:r w:rsidR="00B42EA4" w:rsidRPr="00827E5B">
              <w:rPr>
                <w:rFonts w:ascii="Arial" w:hAnsi="Arial" w:cs="Arial"/>
                <w:sz w:val="22"/>
                <w:szCs w:val="22"/>
                <w:lang w:val="en-US"/>
              </w:rPr>
              <w:t>5</w:t>
            </w:r>
            <w:r w:rsidRPr="00827E5B">
              <w:rPr>
                <w:rFonts w:ascii="Arial" w:hAnsi="Arial" w:cs="Arial"/>
                <w:sz w:val="22"/>
                <w:szCs w:val="22"/>
                <w:lang w:val="en-US"/>
              </w:rPr>
              <w:t>-10</w:t>
            </w:r>
            <w:r w:rsidR="009E7E2B" w:rsidRPr="00827E5B">
              <w:rPr>
                <w:rFonts w:ascii="Arial" w:hAnsi="Arial" w:cs="Arial"/>
                <w:sz w:val="22"/>
                <w:szCs w:val="22"/>
                <w:lang w:val="en-US"/>
              </w:rPr>
              <w:t xml:space="preserve"> where</w:t>
            </w:r>
            <w:r w:rsidRPr="00827E5B">
              <w:rPr>
                <w:rFonts w:ascii="Arial" w:hAnsi="Arial" w:cs="Arial"/>
                <w:sz w:val="22"/>
                <w:szCs w:val="22"/>
                <w:lang w:val="en-US"/>
              </w:rPr>
              <w:t xml:space="preserve">  6-10 </w:t>
            </w:r>
            <w:r w:rsidR="009E7E2B" w:rsidRPr="00827E5B">
              <w:rPr>
                <w:rFonts w:ascii="Arial" w:hAnsi="Arial" w:cs="Arial"/>
                <w:sz w:val="22"/>
                <w:szCs w:val="22"/>
                <w:lang w:val="en-US"/>
              </w:rPr>
              <w:t>are the passing grades</w:t>
            </w:r>
            <w:r w:rsidRPr="00827E5B">
              <w:rPr>
                <w:rFonts w:ascii="Arial" w:hAnsi="Arial" w:cs="Arial"/>
                <w:sz w:val="22"/>
                <w:szCs w:val="22"/>
                <w:lang w:val="en-US"/>
              </w:rPr>
              <w:t xml:space="preserve"> </w:t>
            </w:r>
            <w:r w:rsidR="009E7E2B" w:rsidRPr="00827E5B">
              <w:rPr>
                <w:rFonts w:ascii="Arial" w:hAnsi="Arial" w:cs="Arial"/>
                <w:sz w:val="22"/>
                <w:szCs w:val="22"/>
                <w:lang w:val="en-US"/>
              </w:rPr>
              <w:t xml:space="preserve">and </w:t>
            </w:r>
            <w:r w:rsidRPr="00827E5B">
              <w:rPr>
                <w:rFonts w:ascii="Arial" w:hAnsi="Arial" w:cs="Arial"/>
                <w:sz w:val="22"/>
                <w:szCs w:val="22"/>
                <w:lang w:val="en-US"/>
              </w:rPr>
              <w:t xml:space="preserve">5 </w:t>
            </w:r>
            <w:r w:rsidR="009E7E2B" w:rsidRPr="00827E5B">
              <w:rPr>
                <w:rFonts w:ascii="Arial" w:hAnsi="Arial" w:cs="Arial"/>
                <w:sz w:val="22"/>
                <w:szCs w:val="22"/>
                <w:lang w:val="en-US"/>
              </w:rPr>
              <w:t>is a fail,</w:t>
            </w:r>
            <w:r w:rsidRPr="00827E5B">
              <w:rPr>
                <w:rFonts w:ascii="Arial" w:hAnsi="Arial" w:cs="Arial"/>
                <w:sz w:val="22"/>
                <w:szCs w:val="22"/>
                <w:lang w:val="en-US"/>
              </w:rPr>
              <w:t xml:space="preserve"> </w:t>
            </w:r>
            <w:r w:rsidR="009E7E2B" w:rsidRPr="00827E5B">
              <w:rPr>
                <w:rFonts w:ascii="Arial" w:hAnsi="Arial" w:cs="Arial"/>
                <w:sz w:val="22"/>
                <w:szCs w:val="22"/>
                <w:lang w:val="en-US"/>
              </w:rPr>
              <w:t>in accordance with the</w:t>
            </w:r>
            <w:r w:rsidRPr="00827E5B">
              <w:rPr>
                <w:rFonts w:ascii="Arial" w:hAnsi="Arial" w:cs="Arial"/>
                <w:sz w:val="22"/>
                <w:szCs w:val="22"/>
                <w:lang w:val="en-US"/>
              </w:rPr>
              <w:t xml:space="preserve"> UL Statute and </w:t>
            </w:r>
            <w:r w:rsidR="009E7E2B" w:rsidRPr="00827E5B">
              <w:rPr>
                <w:rFonts w:ascii="Arial" w:hAnsi="Arial" w:cs="Arial"/>
                <w:sz w:val="22"/>
                <w:szCs w:val="22"/>
                <w:lang w:val="en-US"/>
              </w:rPr>
              <w:t xml:space="preserve">the </w:t>
            </w:r>
            <w:r w:rsidRPr="00827E5B">
              <w:rPr>
                <w:rFonts w:ascii="Arial" w:hAnsi="Arial" w:cs="Arial"/>
                <w:sz w:val="22"/>
                <w:szCs w:val="22"/>
                <w:lang w:val="en-US"/>
              </w:rPr>
              <w:t xml:space="preserve">rules of the Law Faculty. </w:t>
            </w:r>
          </w:p>
        </w:tc>
      </w:tr>
      <w:tr w:rsidR="007E52D4" w:rsidRPr="00827E5B" w14:paraId="15382E38" w14:textId="77777777" w:rsidTr="009D7A57">
        <w:tc>
          <w:tcPr>
            <w:tcW w:w="9695" w:type="dxa"/>
            <w:gridSpan w:val="6"/>
            <w:tcBorders>
              <w:top w:val="single" w:sz="4" w:space="0" w:color="auto"/>
              <w:left w:val="nil"/>
              <w:bottom w:val="single" w:sz="4" w:space="0" w:color="auto"/>
              <w:right w:val="nil"/>
            </w:tcBorders>
          </w:tcPr>
          <w:p w14:paraId="196F2D33" w14:textId="77777777" w:rsidR="007E52D4" w:rsidRPr="00827E5B" w:rsidRDefault="007E52D4" w:rsidP="009D7A57">
            <w:pPr>
              <w:rPr>
                <w:rFonts w:ascii="Arial" w:hAnsi="Arial" w:cs="Arial"/>
                <w:b/>
                <w:sz w:val="22"/>
                <w:szCs w:val="22"/>
              </w:rPr>
            </w:pPr>
          </w:p>
          <w:p w14:paraId="5925ABAF" w14:textId="77777777" w:rsidR="007E52D4" w:rsidRPr="00827E5B" w:rsidRDefault="007E52D4" w:rsidP="009D7A57">
            <w:pPr>
              <w:rPr>
                <w:rFonts w:ascii="Arial" w:hAnsi="Arial" w:cs="Arial"/>
                <w:b/>
                <w:sz w:val="22"/>
                <w:szCs w:val="22"/>
              </w:rPr>
            </w:pPr>
            <w:r w:rsidRPr="00827E5B">
              <w:rPr>
                <w:rFonts w:ascii="Arial" w:hAnsi="Arial" w:cs="Arial"/>
                <w:b/>
                <w:sz w:val="22"/>
                <w:szCs w:val="22"/>
              </w:rPr>
              <w:t xml:space="preserve">Reference nosilca / Lecturer's references: </w:t>
            </w:r>
          </w:p>
        </w:tc>
      </w:tr>
      <w:tr w:rsidR="007E52D4" w:rsidRPr="00827E5B" w14:paraId="2B17FF2E" w14:textId="77777777" w:rsidTr="009D7A57">
        <w:tc>
          <w:tcPr>
            <w:tcW w:w="9695" w:type="dxa"/>
            <w:gridSpan w:val="6"/>
            <w:tcBorders>
              <w:top w:val="single" w:sz="4" w:space="0" w:color="auto"/>
              <w:left w:val="single" w:sz="4" w:space="0" w:color="auto"/>
              <w:bottom w:val="single" w:sz="4" w:space="0" w:color="auto"/>
              <w:right w:val="single" w:sz="4" w:space="0" w:color="auto"/>
            </w:tcBorders>
          </w:tcPr>
          <w:p w14:paraId="2751E56C" w14:textId="16ABD6E2" w:rsidR="00F85471" w:rsidRPr="00827E5B" w:rsidRDefault="00442C4E" w:rsidP="0035345A">
            <w:pPr>
              <w:rPr>
                <w:rFonts w:ascii="Arial" w:hAnsi="Arial" w:cs="Arial"/>
                <w:sz w:val="22"/>
                <w:szCs w:val="22"/>
              </w:rPr>
            </w:pPr>
            <w:r w:rsidRPr="00827E5B">
              <w:rPr>
                <w:rFonts w:ascii="Arial" w:hAnsi="Arial" w:cs="Arial"/>
                <w:sz w:val="22"/>
                <w:szCs w:val="22"/>
              </w:rPr>
              <w:t xml:space="preserve">                                                                    </w:t>
            </w:r>
            <w:r w:rsidR="00BB01A3">
              <w:rPr>
                <w:rFonts w:ascii="Arial" w:hAnsi="Arial" w:cs="Arial"/>
                <w:sz w:val="22"/>
                <w:szCs w:val="22"/>
              </w:rPr>
              <w:t>prof. dr. Katarina Zajc</w:t>
            </w:r>
          </w:p>
          <w:p w14:paraId="0BDB3A3A" w14:textId="77777777" w:rsidR="00F85471" w:rsidRPr="00827E5B" w:rsidRDefault="00F85471" w:rsidP="0035345A">
            <w:pPr>
              <w:rPr>
                <w:rFonts w:ascii="Arial" w:hAnsi="Arial" w:cs="Arial"/>
                <w:sz w:val="22"/>
                <w:szCs w:val="22"/>
              </w:rPr>
            </w:pPr>
          </w:p>
          <w:p w14:paraId="751FE9A4" w14:textId="77777777" w:rsidR="00BB01A3" w:rsidRPr="00135694" w:rsidRDefault="00BB01A3" w:rsidP="00BB01A3">
            <w:pPr>
              <w:pStyle w:val="Odstavekseznama"/>
              <w:numPr>
                <w:ilvl w:val="0"/>
                <w:numId w:val="2"/>
              </w:numPr>
              <w:rPr>
                <w:rFonts w:ascii="Arial" w:hAnsi="Arial" w:cs="Arial"/>
                <w:sz w:val="22"/>
                <w:szCs w:val="22"/>
              </w:rPr>
            </w:pPr>
            <w:r w:rsidRPr="00C44954">
              <w:rPr>
                <w:rFonts w:ascii="Verdana" w:hAnsi="Verdana"/>
                <w:color w:val="000000"/>
                <w:sz w:val="17"/>
                <w:szCs w:val="17"/>
              </w:rPr>
              <w:t>COWEN, Tyler, GLAZER, Amihai, ZAJC, Katarina. Credibility may require discretion, not rules.</w:t>
            </w:r>
            <w:r w:rsidRPr="00135694">
              <w:rPr>
                <w:rStyle w:val="apple-converted-space"/>
                <w:rFonts w:ascii="Verdana" w:hAnsi="Verdana"/>
                <w:color w:val="000000"/>
                <w:sz w:val="17"/>
                <w:szCs w:val="17"/>
              </w:rPr>
              <w:t> </w:t>
            </w:r>
            <w:r w:rsidRPr="00C44954">
              <w:rPr>
                <w:rFonts w:ascii="Verdana" w:hAnsi="Verdana"/>
                <w:i/>
                <w:iCs/>
                <w:color w:val="000000"/>
                <w:sz w:val="17"/>
                <w:szCs w:val="17"/>
              </w:rPr>
              <w:t>Journal of Public Economics</w:t>
            </w:r>
            <w:r w:rsidRPr="00C44954">
              <w:rPr>
                <w:rFonts w:ascii="Verdana" w:hAnsi="Verdana"/>
                <w:color w:val="000000"/>
                <w:sz w:val="17"/>
                <w:szCs w:val="17"/>
              </w:rPr>
              <w:t>. [Print ed.]. 2000, vol. 76, issue 2, str. 295-306. ISSN 0047-2727. [COBISS.SI-ID</w:t>
            </w:r>
            <w:r w:rsidRPr="00135694">
              <w:rPr>
                <w:rStyle w:val="apple-converted-space"/>
                <w:rFonts w:ascii="Verdana" w:hAnsi="Verdana"/>
                <w:color w:val="000000"/>
                <w:sz w:val="17"/>
                <w:szCs w:val="17"/>
              </w:rPr>
              <w:t> </w:t>
            </w:r>
            <w:hyperlink r:id="rId6" w:tgtFrame="_blank" w:history="1">
              <w:r w:rsidRPr="00135694">
                <w:rPr>
                  <w:rStyle w:val="Hiperpovezava"/>
                  <w:rFonts w:ascii="Verdana" w:hAnsi="Verdana"/>
                  <w:color w:val="156BFF"/>
                  <w:sz w:val="17"/>
                  <w:szCs w:val="17"/>
                </w:rPr>
                <w:t>3856465</w:t>
              </w:r>
            </w:hyperlink>
            <w:r w:rsidRPr="00C44954">
              <w:rPr>
                <w:rFonts w:ascii="Verdana" w:hAnsi="Verdana"/>
                <w:color w:val="000000"/>
                <w:sz w:val="17"/>
                <w:szCs w:val="17"/>
              </w:rPr>
              <w:t>]</w:t>
            </w:r>
            <w:r w:rsidRPr="00135694">
              <w:rPr>
                <w:rFonts w:ascii="Arial" w:hAnsi="Arial" w:cs="Arial"/>
                <w:sz w:val="22"/>
                <w:szCs w:val="22"/>
              </w:rPr>
              <w:t xml:space="preserve">                                                           </w:t>
            </w:r>
          </w:p>
          <w:p w14:paraId="64532EBD" w14:textId="77777777" w:rsidR="00BB01A3" w:rsidRPr="00C44954" w:rsidRDefault="00BB01A3" w:rsidP="00BB01A3">
            <w:pPr>
              <w:pStyle w:val="Odstavekseznama"/>
              <w:numPr>
                <w:ilvl w:val="0"/>
                <w:numId w:val="2"/>
              </w:numPr>
              <w:rPr>
                <w:rFonts w:ascii="Verdana" w:eastAsia="Times New Roman" w:hAnsi="Verdana"/>
                <w:color w:val="000000"/>
                <w:sz w:val="17"/>
                <w:szCs w:val="17"/>
              </w:rPr>
            </w:pPr>
            <w:r w:rsidRPr="00C44954">
              <w:rPr>
                <w:rFonts w:ascii="Verdana" w:hAnsi="Verdana"/>
                <w:color w:val="000000"/>
                <w:sz w:val="17"/>
                <w:szCs w:val="17"/>
              </w:rPr>
              <w:t>DIMITROVA-GRAJZL, Valentina, GRAJŽL, Peter, ZAJC, Katarina. Understanding modes of civil case disposition : evidence from Slovenian courts.</w:t>
            </w:r>
            <w:r w:rsidRPr="00135694">
              <w:rPr>
                <w:rStyle w:val="apple-converted-space"/>
                <w:rFonts w:ascii="Verdana" w:hAnsi="Verdana"/>
                <w:color w:val="000000"/>
                <w:sz w:val="17"/>
                <w:szCs w:val="17"/>
              </w:rPr>
              <w:t> </w:t>
            </w:r>
            <w:r w:rsidRPr="00C44954">
              <w:rPr>
                <w:rFonts w:ascii="Verdana" w:hAnsi="Verdana"/>
                <w:i/>
                <w:iCs/>
                <w:color w:val="000000"/>
                <w:sz w:val="17"/>
                <w:szCs w:val="17"/>
              </w:rPr>
              <w:t>Journal of comparative economics : the journal of the Association for Comparative Economic Studies</w:t>
            </w:r>
            <w:r w:rsidRPr="00C44954">
              <w:rPr>
                <w:rFonts w:ascii="Verdana" w:hAnsi="Verdana"/>
                <w:color w:val="000000"/>
                <w:sz w:val="17"/>
                <w:szCs w:val="17"/>
              </w:rPr>
              <w:t>. Dec. 2014, vol. 42, no. 4, str. 924-939, tabele. ISSN 0147-5967.</w:t>
            </w:r>
            <w:r w:rsidRPr="00135694">
              <w:rPr>
                <w:rStyle w:val="apple-converted-space"/>
                <w:rFonts w:ascii="Verdana" w:hAnsi="Verdana"/>
                <w:color w:val="000000"/>
                <w:sz w:val="17"/>
                <w:szCs w:val="17"/>
              </w:rPr>
              <w:t> </w:t>
            </w:r>
            <w:hyperlink r:id="rId7" w:tgtFrame="_blank" w:history="1">
              <w:r w:rsidRPr="00135694">
                <w:rPr>
                  <w:rStyle w:val="Hiperpovezava"/>
                  <w:rFonts w:ascii="Verdana" w:hAnsi="Verdana"/>
                  <w:color w:val="156BFF"/>
                  <w:sz w:val="17"/>
                  <w:szCs w:val="17"/>
                </w:rPr>
                <w:t>http://www.sciencedirect.com/science/article/pii/S0147596714000316</w:t>
              </w:r>
            </w:hyperlink>
            <w:r w:rsidRPr="00C44954">
              <w:rPr>
                <w:rFonts w:ascii="Verdana" w:hAnsi="Verdana"/>
                <w:color w:val="000000"/>
                <w:sz w:val="17"/>
                <w:szCs w:val="17"/>
              </w:rPr>
              <w:t>. [COBISS.SI-ID</w:t>
            </w:r>
            <w:r w:rsidRPr="00135694">
              <w:rPr>
                <w:rStyle w:val="apple-converted-space"/>
                <w:rFonts w:ascii="Verdana" w:hAnsi="Verdana"/>
                <w:color w:val="000000"/>
                <w:sz w:val="17"/>
                <w:szCs w:val="17"/>
              </w:rPr>
              <w:t> </w:t>
            </w:r>
            <w:hyperlink r:id="rId8" w:tgtFrame="_blank" w:history="1">
              <w:r w:rsidRPr="00135694">
                <w:rPr>
                  <w:rStyle w:val="Hiperpovezava"/>
                  <w:rFonts w:ascii="Verdana" w:hAnsi="Verdana"/>
                  <w:color w:val="156BFF"/>
                  <w:sz w:val="17"/>
                  <w:szCs w:val="17"/>
                </w:rPr>
                <w:t>14096721</w:t>
              </w:r>
            </w:hyperlink>
            <w:r w:rsidRPr="00C44954">
              <w:rPr>
                <w:rFonts w:ascii="Verdana" w:hAnsi="Verdana"/>
                <w:color w:val="000000"/>
                <w:sz w:val="17"/>
                <w:szCs w:val="17"/>
              </w:rPr>
              <w:t>]</w:t>
            </w:r>
          </w:p>
          <w:p w14:paraId="6634F3BB" w14:textId="77777777" w:rsidR="00BB01A3" w:rsidRPr="00C44954" w:rsidRDefault="00BB01A3" w:rsidP="00BB01A3">
            <w:pPr>
              <w:pStyle w:val="Odstavekseznama"/>
              <w:numPr>
                <w:ilvl w:val="0"/>
                <w:numId w:val="2"/>
              </w:numPr>
              <w:rPr>
                <w:rFonts w:ascii="Verdana" w:eastAsia="Times New Roman" w:hAnsi="Verdana"/>
                <w:color w:val="000000"/>
                <w:sz w:val="17"/>
                <w:szCs w:val="17"/>
              </w:rPr>
            </w:pPr>
            <w:r>
              <w:rPr>
                <w:rFonts w:ascii="Verdana" w:hAnsi="Verdana"/>
                <w:color w:val="000000"/>
                <w:sz w:val="17"/>
                <w:szCs w:val="17"/>
              </w:rPr>
              <w:t>ZAJC, Katarina, MULEC, Breda. New challenges in the field of ambient air protection, with an emphasis on the economic efficiency of chimney-sweeping services.</w:t>
            </w:r>
            <w:r>
              <w:rPr>
                <w:rStyle w:val="apple-converted-space"/>
                <w:rFonts w:ascii="Verdana" w:hAnsi="Verdana"/>
                <w:color w:val="000000"/>
                <w:sz w:val="17"/>
                <w:szCs w:val="17"/>
              </w:rPr>
              <w:t> </w:t>
            </w:r>
            <w:r>
              <w:rPr>
                <w:rFonts w:ascii="Verdana" w:hAnsi="Verdana"/>
                <w:i/>
                <w:iCs/>
                <w:color w:val="000000"/>
                <w:sz w:val="17"/>
                <w:szCs w:val="17"/>
              </w:rPr>
              <w:t>Lex localis : revija za lokalno samoupravo</w:t>
            </w:r>
            <w:r>
              <w:rPr>
                <w:rFonts w:ascii="Verdana" w:hAnsi="Verdana"/>
                <w:color w:val="000000"/>
                <w:sz w:val="17"/>
                <w:szCs w:val="17"/>
              </w:rPr>
              <w:t>. [Tiskana izd.]. jul. 2013, letn. 11, št. 3, str. 311-324. ISSN 1581-5374. [COBISS.SI-ID</w:t>
            </w:r>
            <w:r>
              <w:rPr>
                <w:rStyle w:val="apple-converted-space"/>
                <w:rFonts w:ascii="Verdana" w:hAnsi="Verdana"/>
                <w:color w:val="000000"/>
                <w:sz w:val="17"/>
                <w:szCs w:val="17"/>
              </w:rPr>
              <w:t> </w:t>
            </w:r>
            <w:hyperlink r:id="rId9" w:tgtFrame="_blank" w:history="1">
              <w:r>
                <w:rPr>
                  <w:rStyle w:val="Hiperpovezava"/>
                  <w:rFonts w:ascii="Verdana" w:hAnsi="Verdana"/>
                  <w:color w:val="156BFF"/>
                  <w:sz w:val="17"/>
                  <w:szCs w:val="17"/>
                </w:rPr>
                <w:t>12357197</w:t>
              </w:r>
            </w:hyperlink>
            <w:r>
              <w:rPr>
                <w:rFonts w:ascii="Verdana" w:hAnsi="Verdana"/>
                <w:color w:val="000000"/>
                <w:sz w:val="17"/>
                <w:szCs w:val="17"/>
              </w:rPr>
              <w:t>]</w:t>
            </w:r>
          </w:p>
          <w:p w14:paraId="18773C6E" w14:textId="77777777" w:rsidR="00BB01A3" w:rsidRPr="00C44954" w:rsidRDefault="00BB01A3" w:rsidP="00BB01A3">
            <w:pPr>
              <w:pStyle w:val="Odstavekseznama"/>
              <w:numPr>
                <w:ilvl w:val="0"/>
                <w:numId w:val="2"/>
              </w:numPr>
              <w:rPr>
                <w:rFonts w:ascii="Verdana" w:eastAsia="Times New Roman" w:hAnsi="Verdana"/>
                <w:color w:val="000000"/>
                <w:sz w:val="17"/>
                <w:szCs w:val="17"/>
              </w:rPr>
            </w:pPr>
            <w:r>
              <w:rPr>
                <w:rFonts w:ascii="Verdana" w:hAnsi="Verdana"/>
                <w:color w:val="000000"/>
                <w:sz w:val="17"/>
                <w:szCs w:val="17"/>
              </w:rPr>
              <w:t>GRAJŽL, Peter, DIMITROVA-GRAJZL, Valentina, ZAJC, Katarina. Inside post-socialist courts : the determinants of adjudicatory outcomes in Slovenian commercial disputes.</w:t>
            </w:r>
            <w:r>
              <w:rPr>
                <w:rStyle w:val="apple-converted-space"/>
                <w:rFonts w:ascii="Verdana" w:hAnsi="Verdana"/>
                <w:color w:val="000000"/>
                <w:sz w:val="17"/>
                <w:szCs w:val="17"/>
              </w:rPr>
              <w:t> </w:t>
            </w:r>
            <w:r>
              <w:rPr>
                <w:rFonts w:ascii="Verdana" w:hAnsi="Verdana"/>
                <w:i/>
                <w:iCs/>
                <w:color w:val="000000"/>
                <w:sz w:val="17"/>
                <w:szCs w:val="17"/>
              </w:rPr>
              <w:t>European journal of law and economics</w:t>
            </w:r>
            <w:r>
              <w:rPr>
                <w:rFonts w:ascii="Verdana" w:hAnsi="Verdana"/>
                <w:color w:val="000000"/>
                <w:sz w:val="17"/>
                <w:szCs w:val="17"/>
              </w:rPr>
              <w:t>. Feb. 2016, vol. 41, iss. 1, str. 85-115. ISSN 0929-1261.</w:t>
            </w:r>
            <w:r>
              <w:rPr>
                <w:rStyle w:val="apple-converted-space"/>
                <w:rFonts w:ascii="Verdana" w:hAnsi="Verdana"/>
                <w:color w:val="000000"/>
                <w:sz w:val="17"/>
                <w:szCs w:val="17"/>
              </w:rPr>
              <w:t> </w:t>
            </w:r>
            <w:hyperlink r:id="rId10" w:tgtFrame="_blank" w:history="1">
              <w:r>
                <w:rPr>
                  <w:rStyle w:val="Hiperpovezava"/>
                  <w:rFonts w:ascii="Verdana" w:hAnsi="Verdana"/>
                  <w:color w:val="156BFF"/>
                  <w:sz w:val="17"/>
                  <w:szCs w:val="17"/>
                </w:rPr>
                <w:t>http://link.springer.com/article/10.1007/s10657-015-9506-z/fulltext.html</w:t>
              </w:r>
            </w:hyperlink>
            <w:r>
              <w:rPr>
                <w:rFonts w:ascii="Verdana" w:hAnsi="Verdana"/>
                <w:color w:val="000000"/>
                <w:sz w:val="17"/>
                <w:szCs w:val="17"/>
              </w:rPr>
              <w:t>, DOI:</w:t>
            </w:r>
            <w:r>
              <w:rPr>
                <w:rStyle w:val="apple-converted-space"/>
                <w:rFonts w:ascii="Verdana" w:hAnsi="Verdana"/>
                <w:color w:val="000000"/>
                <w:sz w:val="17"/>
                <w:szCs w:val="17"/>
              </w:rPr>
              <w:t> </w:t>
            </w:r>
            <w:hyperlink r:id="rId11" w:tgtFrame="_blank" w:history="1">
              <w:r>
                <w:rPr>
                  <w:rStyle w:val="Hiperpovezava"/>
                  <w:rFonts w:ascii="Verdana" w:hAnsi="Verdana"/>
                  <w:color w:val="156BFF"/>
                  <w:sz w:val="17"/>
                  <w:szCs w:val="17"/>
                </w:rPr>
                <w:t>10.1007/s10657-015-9506-z</w:t>
              </w:r>
            </w:hyperlink>
            <w:r>
              <w:rPr>
                <w:rFonts w:ascii="Verdana" w:hAnsi="Verdana"/>
                <w:color w:val="000000"/>
                <w:sz w:val="17"/>
                <w:szCs w:val="17"/>
              </w:rPr>
              <w:t>. [COBISS.SI-ID</w:t>
            </w:r>
            <w:r>
              <w:rPr>
                <w:rStyle w:val="apple-converted-space"/>
                <w:rFonts w:ascii="Verdana" w:hAnsi="Verdana"/>
                <w:color w:val="000000"/>
                <w:sz w:val="17"/>
                <w:szCs w:val="17"/>
              </w:rPr>
              <w:t> </w:t>
            </w:r>
            <w:hyperlink r:id="rId12" w:tgtFrame="_blank" w:history="1">
              <w:r>
                <w:rPr>
                  <w:rStyle w:val="Hiperpovezava"/>
                  <w:rFonts w:ascii="Verdana" w:hAnsi="Verdana"/>
                  <w:color w:val="156BFF"/>
                  <w:sz w:val="17"/>
                  <w:szCs w:val="17"/>
                </w:rPr>
                <w:t>14403153</w:t>
              </w:r>
            </w:hyperlink>
            <w:r>
              <w:rPr>
                <w:rFonts w:ascii="Verdana" w:hAnsi="Verdana"/>
                <w:color w:val="000000"/>
                <w:sz w:val="17"/>
                <w:szCs w:val="17"/>
              </w:rPr>
              <w:t>]</w:t>
            </w:r>
          </w:p>
          <w:p w14:paraId="3156063A" w14:textId="77777777" w:rsidR="00BB01A3" w:rsidRPr="00C44954" w:rsidRDefault="00BB01A3" w:rsidP="00BB01A3">
            <w:pPr>
              <w:pStyle w:val="Odstavekseznama"/>
              <w:numPr>
                <w:ilvl w:val="0"/>
                <w:numId w:val="2"/>
              </w:numPr>
              <w:rPr>
                <w:rFonts w:ascii="Verdana" w:eastAsia="Times New Roman" w:hAnsi="Verdana"/>
                <w:color w:val="000000"/>
                <w:sz w:val="17"/>
                <w:szCs w:val="17"/>
              </w:rPr>
            </w:pPr>
            <w:r>
              <w:rPr>
                <w:rFonts w:ascii="Verdana" w:hAnsi="Verdana"/>
                <w:color w:val="000000"/>
                <w:sz w:val="17"/>
                <w:szCs w:val="17"/>
              </w:rPr>
              <w:t>GRAJŽL, Peter, ZAJC, Katarina. Litigation and the timing of settlement : evidence from commercial disputes.</w:t>
            </w:r>
            <w:r>
              <w:rPr>
                <w:rStyle w:val="apple-converted-space"/>
                <w:rFonts w:ascii="Verdana" w:hAnsi="Verdana"/>
                <w:color w:val="000000"/>
                <w:sz w:val="17"/>
                <w:szCs w:val="17"/>
              </w:rPr>
              <w:t> </w:t>
            </w:r>
            <w:r>
              <w:rPr>
                <w:rFonts w:ascii="Verdana" w:hAnsi="Verdana"/>
                <w:i/>
                <w:iCs/>
                <w:color w:val="000000"/>
                <w:sz w:val="17"/>
                <w:szCs w:val="17"/>
              </w:rPr>
              <w:t>European journal of law and economics</w:t>
            </w:r>
            <w:r>
              <w:rPr>
                <w:rFonts w:ascii="Verdana" w:hAnsi="Verdana"/>
                <w:color w:val="000000"/>
                <w:sz w:val="17"/>
                <w:szCs w:val="17"/>
              </w:rPr>
              <w:t>. May 2017, vol. 44, iss. 2, str. 287-319. ISSN 0929-1261. [COBISS.SI-ID</w:t>
            </w:r>
            <w:r>
              <w:rPr>
                <w:rStyle w:val="apple-converted-space"/>
                <w:rFonts w:ascii="Verdana" w:hAnsi="Verdana"/>
                <w:color w:val="000000"/>
                <w:sz w:val="17"/>
                <w:szCs w:val="17"/>
              </w:rPr>
              <w:t> </w:t>
            </w:r>
            <w:hyperlink r:id="rId13" w:tgtFrame="_blank" w:history="1">
              <w:r>
                <w:rPr>
                  <w:rStyle w:val="Hiperpovezava"/>
                  <w:rFonts w:ascii="Verdana" w:hAnsi="Verdana"/>
                  <w:color w:val="156BFF"/>
                  <w:sz w:val="17"/>
                  <w:szCs w:val="17"/>
                </w:rPr>
                <w:t>15845969</w:t>
              </w:r>
            </w:hyperlink>
            <w:r>
              <w:rPr>
                <w:rFonts w:ascii="Verdana" w:hAnsi="Verdana"/>
                <w:color w:val="000000"/>
                <w:sz w:val="17"/>
                <w:szCs w:val="17"/>
              </w:rPr>
              <w:t>]</w:t>
            </w:r>
          </w:p>
          <w:p w14:paraId="4C39B6BC" w14:textId="77777777" w:rsidR="00BB01A3" w:rsidRDefault="00BB01A3" w:rsidP="00BB01A3">
            <w:pPr>
              <w:rPr>
                <w:rFonts w:ascii="Times New Roman" w:hAnsi="Times New Roman"/>
              </w:rPr>
            </w:pPr>
          </w:p>
          <w:p w14:paraId="5D243811" w14:textId="77777777" w:rsidR="00BB01A3" w:rsidRDefault="00BB01A3" w:rsidP="00BB01A3">
            <w:pPr>
              <w:rPr>
                <w:rFonts w:ascii="Arial" w:hAnsi="Arial" w:cs="Arial"/>
                <w:sz w:val="22"/>
                <w:szCs w:val="22"/>
              </w:rPr>
            </w:pPr>
          </w:p>
          <w:p w14:paraId="5187C1FC" w14:textId="77777777" w:rsidR="00BB01A3" w:rsidRDefault="00BB01A3" w:rsidP="00BB01A3">
            <w:pPr>
              <w:rPr>
                <w:rFonts w:ascii="Arial" w:hAnsi="Arial" w:cs="Arial"/>
                <w:sz w:val="22"/>
                <w:szCs w:val="22"/>
              </w:rPr>
            </w:pPr>
          </w:p>
          <w:p w14:paraId="3CBFF49D" w14:textId="77777777" w:rsidR="00F85471" w:rsidRPr="00827E5B" w:rsidRDefault="00F85471" w:rsidP="00BB01A3">
            <w:pPr>
              <w:rPr>
                <w:rFonts w:ascii="Arial" w:hAnsi="Arial" w:cs="Arial"/>
                <w:sz w:val="22"/>
                <w:szCs w:val="22"/>
              </w:rPr>
            </w:pPr>
          </w:p>
        </w:tc>
      </w:tr>
    </w:tbl>
    <w:p w14:paraId="52A560E0" w14:textId="77777777" w:rsidR="00064C3C" w:rsidRPr="00827E5B" w:rsidRDefault="00064C3C">
      <w:pPr>
        <w:rPr>
          <w:rFonts w:ascii="Arial" w:hAnsi="Arial" w:cs="Arial"/>
          <w:sz w:val="22"/>
          <w:szCs w:val="22"/>
        </w:rPr>
      </w:pPr>
    </w:p>
    <w:sectPr w:rsidR="00064C3C" w:rsidRPr="00827E5B" w:rsidSect="00064C3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120F6"/>
    <w:multiLevelType w:val="hybridMultilevel"/>
    <w:tmpl w:val="71BA85CA"/>
    <w:lvl w:ilvl="0" w:tplc="1CF8C4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83A57"/>
    <w:multiLevelType w:val="hybridMultilevel"/>
    <w:tmpl w:val="76840C12"/>
    <w:lvl w:ilvl="0" w:tplc="81E4A9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101088">
    <w:abstractNumId w:val="0"/>
  </w:num>
  <w:num w:numId="2" w16cid:durableId="39932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D4"/>
    <w:rsid w:val="00033265"/>
    <w:rsid w:val="00053158"/>
    <w:rsid w:val="000618AA"/>
    <w:rsid w:val="00064C3C"/>
    <w:rsid w:val="00086CC1"/>
    <w:rsid w:val="0008749B"/>
    <w:rsid w:val="000F5F17"/>
    <w:rsid w:val="001353DF"/>
    <w:rsid w:val="001835A2"/>
    <w:rsid w:val="00184531"/>
    <w:rsid w:val="001F7442"/>
    <w:rsid w:val="00217959"/>
    <w:rsid w:val="00240AD3"/>
    <w:rsid w:val="00245CA9"/>
    <w:rsid w:val="002722FE"/>
    <w:rsid w:val="002B0E22"/>
    <w:rsid w:val="002C52D0"/>
    <w:rsid w:val="002F30E1"/>
    <w:rsid w:val="0035345A"/>
    <w:rsid w:val="00353C47"/>
    <w:rsid w:val="00363D23"/>
    <w:rsid w:val="003C101E"/>
    <w:rsid w:val="003D2041"/>
    <w:rsid w:val="004141D3"/>
    <w:rsid w:val="004314B6"/>
    <w:rsid w:val="00442C4E"/>
    <w:rsid w:val="00445ECB"/>
    <w:rsid w:val="004471B2"/>
    <w:rsid w:val="0046369C"/>
    <w:rsid w:val="00496250"/>
    <w:rsid w:val="004D7B3D"/>
    <w:rsid w:val="004E2AF3"/>
    <w:rsid w:val="004E52B3"/>
    <w:rsid w:val="004F10E1"/>
    <w:rsid w:val="00514D15"/>
    <w:rsid w:val="00530A31"/>
    <w:rsid w:val="005515EB"/>
    <w:rsid w:val="00560D1F"/>
    <w:rsid w:val="005724A8"/>
    <w:rsid w:val="0057577F"/>
    <w:rsid w:val="005A6E68"/>
    <w:rsid w:val="005B63CC"/>
    <w:rsid w:val="005C5F02"/>
    <w:rsid w:val="005E791E"/>
    <w:rsid w:val="00600361"/>
    <w:rsid w:val="00605FC1"/>
    <w:rsid w:val="00611AF9"/>
    <w:rsid w:val="00644F57"/>
    <w:rsid w:val="00677947"/>
    <w:rsid w:val="00682F62"/>
    <w:rsid w:val="00695E82"/>
    <w:rsid w:val="006A7A17"/>
    <w:rsid w:val="007A7623"/>
    <w:rsid w:val="007D7BAF"/>
    <w:rsid w:val="007E2CFA"/>
    <w:rsid w:val="007E52D4"/>
    <w:rsid w:val="007E68AF"/>
    <w:rsid w:val="00827E5B"/>
    <w:rsid w:val="00853A00"/>
    <w:rsid w:val="00874030"/>
    <w:rsid w:val="008B7AFE"/>
    <w:rsid w:val="008E4EB3"/>
    <w:rsid w:val="008E7E41"/>
    <w:rsid w:val="00994466"/>
    <w:rsid w:val="009D60FD"/>
    <w:rsid w:val="009D7A57"/>
    <w:rsid w:val="009E7E2B"/>
    <w:rsid w:val="00A263AF"/>
    <w:rsid w:val="00A30BF4"/>
    <w:rsid w:val="00A67C34"/>
    <w:rsid w:val="00AF4B40"/>
    <w:rsid w:val="00B1541A"/>
    <w:rsid w:val="00B42EA4"/>
    <w:rsid w:val="00BB01A3"/>
    <w:rsid w:val="00BB490A"/>
    <w:rsid w:val="00BF79E9"/>
    <w:rsid w:val="00C31E40"/>
    <w:rsid w:val="00C75C09"/>
    <w:rsid w:val="00C93067"/>
    <w:rsid w:val="00CC68CA"/>
    <w:rsid w:val="00D852FF"/>
    <w:rsid w:val="00D91581"/>
    <w:rsid w:val="00DC685E"/>
    <w:rsid w:val="00DD3981"/>
    <w:rsid w:val="00DE1725"/>
    <w:rsid w:val="00E11010"/>
    <w:rsid w:val="00E80962"/>
    <w:rsid w:val="00EB2C97"/>
    <w:rsid w:val="00EC1146"/>
    <w:rsid w:val="00F2098F"/>
    <w:rsid w:val="00F56D1F"/>
    <w:rsid w:val="00F75987"/>
    <w:rsid w:val="00F85471"/>
    <w:rsid w:val="00FA4B92"/>
  </w:rsids>
  <m:mathPr>
    <m:mathFont m:val="Cambria Math"/>
    <m:brkBin m:val="before"/>
    <m:brkBinSub m:val="--"/>
    <m:smallFrac/>
    <m:dispDe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6C8490"/>
  <w15:docId w15:val="{3EA99406-FB60-3F4D-A923-128BE95D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52D4"/>
    <w:rPr>
      <w:rFonts w:ascii="Calibri" w:eastAsia="Calibri" w:hAnsi="Calibr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5345A"/>
    <w:rPr>
      <w:rFonts w:ascii="Tahoma" w:hAnsi="Tahoma" w:cs="Tahoma"/>
      <w:sz w:val="16"/>
      <w:szCs w:val="16"/>
    </w:rPr>
  </w:style>
  <w:style w:type="character" w:customStyle="1" w:styleId="BesedilooblakaZnak">
    <w:name w:val="Besedilo oblačka Znak"/>
    <w:link w:val="Besedilooblaka"/>
    <w:uiPriority w:val="99"/>
    <w:semiHidden/>
    <w:rsid w:val="0035345A"/>
    <w:rPr>
      <w:rFonts w:ascii="Tahoma" w:eastAsia="Calibri" w:hAnsi="Tahoma" w:cs="Tahoma"/>
      <w:sz w:val="16"/>
      <w:szCs w:val="16"/>
      <w:lang w:val="sl-SI" w:eastAsia="sl-SI"/>
    </w:rPr>
  </w:style>
  <w:style w:type="character" w:styleId="Pripombasklic">
    <w:name w:val="annotation reference"/>
    <w:basedOn w:val="Privzetapisavaodstavka"/>
    <w:uiPriority w:val="99"/>
    <w:semiHidden/>
    <w:unhideWhenUsed/>
    <w:rsid w:val="00B42EA4"/>
    <w:rPr>
      <w:sz w:val="16"/>
      <w:szCs w:val="16"/>
    </w:rPr>
  </w:style>
  <w:style w:type="paragraph" w:styleId="Pripombabesedilo">
    <w:name w:val="annotation text"/>
    <w:basedOn w:val="Navaden"/>
    <w:link w:val="PripombabesediloZnak"/>
    <w:uiPriority w:val="99"/>
    <w:semiHidden/>
    <w:unhideWhenUsed/>
    <w:rsid w:val="00B42EA4"/>
    <w:rPr>
      <w:sz w:val="20"/>
      <w:szCs w:val="20"/>
    </w:rPr>
  </w:style>
  <w:style w:type="character" w:customStyle="1" w:styleId="PripombabesediloZnak">
    <w:name w:val="Pripomba – besedilo Znak"/>
    <w:basedOn w:val="Privzetapisavaodstavka"/>
    <w:link w:val="Pripombabesedilo"/>
    <w:uiPriority w:val="99"/>
    <w:semiHidden/>
    <w:rsid w:val="00B42EA4"/>
    <w:rPr>
      <w:rFonts w:ascii="Calibri" w:eastAsia="Calibri" w:hAnsi="Calibri"/>
    </w:rPr>
  </w:style>
  <w:style w:type="paragraph" w:styleId="Zadevapripombe">
    <w:name w:val="annotation subject"/>
    <w:basedOn w:val="Pripombabesedilo"/>
    <w:next w:val="Pripombabesedilo"/>
    <w:link w:val="ZadevapripombeZnak"/>
    <w:uiPriority w:val="99"/>
    <w:semiHidden/>
    <w:unhideWhenUsed/>
    <w:rsid w:val="00B42EA4"/>
    <w:rPr>
      <w:b/>
      <w:bCs/>
    </w:rPr>
  </w:style>
  <w:style w:type="character" w:customStyle="1" w:styleId="ZadevapripombeZnak">
    <w:name w:val="Zadeva pripombe Znak"/>
    <w:basedOn w:val="PripombabesediloZnak"/>
    <w:link w:val="Zadevapripombe"/>
    <w:uiPriority w:val="99"/>
    <w:semiHidden/>
    <w:rsid w:val="00B42EA4"/>
    <w:rPr>
      <w:rFonts w:ascii="Calibri" w:eastAsia="Calibri" w:hAnsi="Calibri"/>
      <w:b/>
      <w:bCs/>
    </w:rPr>
  </w:style>
  <w:style w:type="paragraph" w:styleId="Revizija">
    <w:name w:val="Revision"/>
    <w:hidden/>
    <w:uiPriority w:val="71"/>
    <w:rsid w:val="00BB01A3"/>
    <w:rPr>
      <w:rFonts w:ascii="Calibri" w:eastAsia="Calibri" w:hAnsi="Calibri"/>
      <w:sz w:val="24"/>
      <w:szCs w:val="24"/>
    </w:rPr>
  </w:style>
  <w:style w:type="paragraph" w:styleId="Odstavekseznama">
    <w:name w:val="List Paragraph"/>
    <w:basedOn w:val="Navaden"/>
    <w:uiPriority w:val="72"/>
    <w:qFormat/>
    <w:rsid w:val="00BB01A3"/>
    <w:pPr>
      <w:ind w:left="720"/>
      <w:contextualSpacing/>
    </w:pPr>
  </w:style>
  <w:style w:type="character" w:customStyle="1" w:styleId="apple-converted-space">
    <w:name w:val="apple-converted-space"/>
    <w:basedOn w:val="Privzetapisavaodstavka"/>
    <w:rsid w:val="00BB01A3"/>
  </w:style>
  <w:style w:type="character" w:styleId="Hiperpovezava">
    <w:name w:val="Hyperlink"/>
    <w:basedOn w:val="Privzetapisavaodstavka"/>
    <w:uiPriority w:val="99"/>
    <w:semiHidden/>
    <w:unhideWhenUsed/>
    <w:rsid w:val="00BB0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cobiss.net/cobiss/si/sl/bib/14096721" TargetMode="External"/><Relationship Id="rId13" Type="http://schemas.openxmlformats.org/officeDocument/2006/relationships/hyperlink" Target="https://plus.cobiss.net/cobiss/si/sl/bib/15845969" TargetMode="External"/><Relationship Id="rId3" Type="http://schemas.openxmlformats.org/officeDocument/2006/relationships/styles" Target="styles.xml"/><Relationship Id="rId7" Type="http://schemas.openxmlformats.org/officeDocument/2006/relationships/hyperlink" Target="http://www.sciencedirect.com/science/article/pii/S0147596714000316" TargetMode="External"/><Relationship Id="rId12" Type="http://schemas.openxmlformats.org/officeDocument/2006/relationships/hyperlink" Target="https://plus.cobiss.net/cobiss/si/sl/bib/144031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us.cobiss.net/cobiss/si/sl/bib/3856465" TargetMode="External"/><Relationship Id="rId11" Type="http://schemas.openxmlformats.org/officeDocument/2006/relationships/hyperlink" Target="https://dx.doi.org/10.1007/s10657-015-9506-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nk.springer.com/article/10.1007/s10657-015-9506-z/fulltext.html" TargetMode="External"/><Relationship Id="rId4" Type="http://schemas.openxmlformats.org/officeDocument/2006/relationships/settings" Target="settings.xml"/><Relationship Id="rId9" Type="http://schemas.openxmlformats.org/officeDocument/2006/relationships/hyperlink" Target="https://plus.cobiss.net/cobiss/si/sl/bib/123571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7F58-F301-4591-A1EC-04009B5A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bumbar</dc:creator>
  <cp:lastModifiedBy>Marentič, Maja</cp:lastModifiedBy>
  <cp:revision>6</cp:revision>
  <dcterms:created xsi:type="dcterms:W3CDTF">2024-06-19T05:41:00Z</dcterms:created>
  <dcterms:modified xsi:type="dcterms:W3CDTF">2025-11-28T08:51:00Z</dcterms:modified>
</cp:coreProperties>
</file>