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0" w:type="dxa"/>
        <w:tblLayout w:type="fixed"/>
        <w:tblCellMar>
          <w:left w:w="56" w:type="dxa"/>
          <w:right w:w="56" w:type="dxa"/>
        </w:tblCellMar>
        <w:tblLook w:val="00A0" w:firstRow="1" w:lastRow="0" w:firstColumn="1" w:lastColumn="0" w:noHBand="0" w:noVBand="0"/>
      </w:tblPr>
      <w:tblGrid>
        <w:gridCol w:w="1410"/>
        <w:gridCol w:w="231"/>
        <w:gridCol w:w="158"/>
        <w:gridCol w:w="1021"/>
        <w:gridCol w:w="487"/>
        <w:gridCol w:w="575"/>
        <w:gridCol w:w="356"/>
        <w:gridCol w:w="480"/>
        <w:gridCol w:w="10"/>
        <w:gridCol w:w="142"/>
        <w:gridCol w:w="786"/>
        <w:gridCol w:w="62"/>
        <w:gridCol w:w="990"/>
        <w:gridCol w:w="365"/>
        <w:gridCol w:w="1193"/>
        <w:gridCol w:w="224"/>
        <w:gridCol w:w="132"/>
        <w:gridCol w:w="1068"/>
      </w:tblGrid>
      <w:tr w:rsidR="00CE4BC9" w:rsidRPr="008B58EB" w14:paraId="72580190" w14:textId="77777777">
        <w:tc>
          <w:tcPr>
            <w:tcW w:w="9690" w:type="dxa"/>
            <w:gridSpan w:val="18"/>
            <w:tcBorders>
              <w:top w:val="single" w:sz="4" w:space="0" w:color="auto"/>
              <w:left w:val="single" w:sz="4" w:space="0" w:color="auto"/>
              <w:bottom w:val="single" w:sz="4" w:space="0" w:color="auto"/>
              <w:right w:val="single" w:sz="4" w:space="0" w:color="auto"/>
            </w:tcBorders>
            <w:shd w:val="clear" w:color="auto" w:fill="E6E6E6"/>
          </w:tcPr>
          <w:p w14:paraId="18899CFB" w14:textId="77777777" w:rsidR="00A257CB" w:rsidRPr="008B58EB" w:rsidRDefault="00A257CB" w:rsidP="00CE4BC9">
            <w:pPr>
              <w:rPr>
                <w:rFonts w:cs="Calibri"/>
                <w:sz w:val="20"/>
                <w:szCs w:val="20"/>
              </w:rPr>
            </w:pPr>
            <w:r w:rsidRPr="008B58EB">
              <w:rPr>
                <w:rFonts w:cs="Calibri"/>
                <w:sz w:val="20"/>
                <w:szCs w:val="20"/>
              </w:rPr>
              <w:t>UČNI NAČRT PREDMETA / COURSE SYLLABUS</w:t>
            </w:r>
          </w:p>
        </w:tc>
      </w:tr>
      <w:tr w:rsidR="00CE4BC9" w:rsidRPr="008B58EB" w14:paraId="129C281F" w14:textId="77777777">
        <w:tc>
          <w:tcPr>
            <w:tcW w:w="1799" w:type="dxa"/>
            <w:gridSpan w:val="3"/>
          </w:tcPr>
          <w:p w14:paraId="3540F899" w14:textId="77777777" w:rsidR="00CE4BC9" w:rsidRPr="008B58EB" w:rsidRDefault="00CE4BC9" w:rsidP="00CE4BC9">
            <w:pPr>
              <w:rPr>
                <w:rFonts w:cs="Calibri"/>
                <w:sz w:val="20"/>
                <w:szCs w:val="20"/>
              </w:rPr>
            </w:pPr>
            <w:r w:rsidRPr="008B58EB">
              <w:rPr>
                <w:rFonts w:cs="Calibri"/>
                <w:sz w:val="20"/>
                <w:szCs w:val="20"/>
              </w:rPr>
              <w:t>Predmet:</w:t>
            </w:r>
          </w:p>
        </w:tc>
        <w:tc>
          <w:tcPr>
            <w:tcW w:w="7891" w:type="dxa"/>
            <w:gridSpan w:val="15"/>
            <w:tcBorders>
              <w:top w:val="single" w:sz="4" w:space="0" w:color="auto"/>
              <w:left w:val="single" w:sz="4" w:space="0" w:color="auto"/>
              <w:bottom w:val="single" w:sz="4" w:space="0" w:color="auto"/>
              <w:right w:val="single" w:sz="4" w:space="0" w:color="auto"/>
            </w:tcBorders>
          </w:tcPr>
          <w:p w14:paraId="188DCA72" w14:textId="77777777" w:rsidR="00CE4BC9" w:rsidRPr="008B58EB" w:rsidRDefault="006821A1" w:rsidP="00CE4BC9">
            <w:pPr>
              <w:rPr>
                <w:rFonts w:cs="Calibri"/>
                <w:sz w:val="20"/>
                <w:szCs w:val="20"/>
              </w:rPr>
            </w:pPr>
            <w:bookmarkStart w:id="0" w:name="Predmet"/>
            <w:bookmarkEnd w:id="0"/>
            <w:r>
              <w:rPr>
                <w:b/>
                <w:sz w:val="20"/>
                <w:szCs w:val="20"/>
              </w:rPr>
              <w:t>U</w:t>
            </w:r>
            <w:r w:rsidRPr="008B58EB">
              <w:rPr>
                <w:b/>
                <w:sz w:val="20"/>
                <w:szCs w:val="20"/>
              </w:rPr>
              <w:t>pravno procesno pravo</w:t>
            </w:r>
          </w:p>
        </w:tc>
      </w:tr>
      <w:tr w:rsidR="00CE4BC9" w:rsidRPr="008B58EB" w14:paraId="44A09A8D" w14:textId="77777777">
        <w:tc>
          <w:tcPr>
            <w:tcW w:w="1799" w:type="dxa"/>
            <w:gridSpan w:val="3"/>
          </w:tcPr>
          <w:p w14:paraId="0BBBE34A" w14:textId="77777777" w:rsidR="00CE4BC9" w:rsidRPr="00B60F70" w:rsidRDefault="00CE4BC9" w:rsidP="00CE4BC9">
            <w:pPr>
              <w:rPr>
                <w:rFonts w:cs="Calibri"/>
                <w:sz w:val="20"/>
                <w:szCs w:val="20"/>
                <w:lang w:val="en-GB"/>
              </w:rPr>
            </w:pPr>
            <w:r w:rsidRPr="00B60F70">
              <w:rPr>
                <w:rFonts w:cs="Calibri"/>
                <w:sz w:val="20"/>
                <w:szCs w:val="20"/>
                <w:lang w:val="en-GB"/>
              </w:rPr>
              <w:t>Course title:</w:t>
            </w:r>
          </w:p>
        </w:tc>
        <w:tc>
          <w:tcPr>
            <w:tcW w:w="7891" w:type="dxa"/>
            <w:gridSpan w:val="15"/>
            <w:tcBorders>
              <w:top w:val="single" w:sz="4" w:space="0" w:color="auto"/>
              <w:left w:val="single" w:sz="4" w:space="0" w:color="auto"/>
              <w:bottom w:val="single" w:sz="4" w:space="0" w:color="auto"/>
              <w:right w:val="single" w:sz="4" w:space="0" w:color="auto"/>
            </w:tcBorders>
          </w:tcPr>
          <w:p w14:paraId="420B3FEF" w14:textId="77777777" w:rsidR="00CE4BC9" w:rsidRPr="005E373F" w:rsidRDefault="00FF41FE" w:rsidP="00CE4BC9">
            <w:pPr>
              <w:rPr>
                <w:rFonts w:cs="Calibri"/>
                <w:b/>
                <w:sz w:val="20"/>
                <w:szCs w:val="20"/>
                <w:lang w:val="en-GB"/>
              </w:rPr>
            </w:pPr>
            <w:bookmarkStart w:id="1" w:name="APredmet"/>
            <w:bookmarkEnd w:id="1"/>
            <w:r w:rsidRPr="005E373F">
              <w:rPr>
                <w:rFonts w:cs="Calibri"/>
                <w:b/>
                <w:sz w:val="20"/>
                <w:szCs w:val="20"/>
                <w:lang w:val="en-GB"/>
              </w:rPr>
              <w:t>Administrative Procedure Law</w:t>
            </w:r>
          </w:p>
        </w:tc>
      </w:tr>
      <w:tr w:rsidR="00CE4BC9" w:rsidRPr="008B58EB" w14:paraId="6648E74B" w14:textId="77777777">
        <w:tc>
          <w:tcPr>
            <w:tcW w:w="3307" w:type="dxa"/>
            <w:gridSpan w:val="5"/>
            <w:vAlign w:val="center"/>
          </w:tcPr>
          <w:p w14:paraId="6055EE2F" w14:textId="77777777" w:rsidR="00CE4BC9" w:rsidRPr="008B58EB" w:rsidRDefault="00CE4BC9" w:rsidP="00CE4BC9">
            <w:pPr>
              <w:rPr>
                <w:rFonts w:cs="Calibri"/>
                <w:sz w:val="20"/>
                <w:szCs w:val="20"/>
              </w:rPr>
            </w:pPr>
          </w:p>
        </w:tc>
        <w:tc>
          <w:tcPr>
            <w:tcW w:w="3401" w:type="dxa"/>
            <w:gridSpan w:val="8"/>
            <w:vAlign w:val="center"/>
          </w:tcPr>
          <w:p w14:paraId="5B9F6E8B" w14:textId="77777777" w:rsidR="00CE4BC9" w:rsidRPr="008B58EB" w:rsidRDefault="00CE4BC9" w:rsidP="00CE4BC9">
            <w:pPr>
              <w:rPr>
                <w:rFonts w:cs="Calibri"/>
                <w:sz w:val="20"/>
                <w:szCs w:val="20"/>
              </w:rPr>
            </w:pPr>
          </w:p>
        </w:tc>
        <w:tc>
          <w:tcPr>
            <w:tcW w:w="1558" w:type="dxa"/>
            <w:gridSpan w:val="2"/>
            <w:vAlign w:val="center"/>
          </w:tcPr>
          <w:p w14:paraId="0E60B2CD" w14:textId="77777777" w:rsidR="00CE4BC9" w:rsidRPr="008B58EB" w:rsidRDefault="00CE4BC9" w:rsidP="00CE4BC9">
            <w:pPr>
              <w:rPr>
                <w:rFonts w:cs="Calibri"/>
                <w:sz w:val="20"/>
                <w:szCs w:val="20"/>
              </w:rPr>
            </w:pPr>
          </w:p>
        </w:tc>
        <w:tc>
          <w:tcPr>
            <w:tcW w:w="1424" w:type="dxa"/>
            <w:gridSpan w:val="3"/>
            <w:vAlign w:val="center"/>
          </w:tcPr>
          <w:p w14:paraId="2EB80FF5" w14:textId="77777777" w:rsidR="00CE4BC9" w:rsidRPr="008B58EB" w:rsidRDefault="00CE4BC9" w:rsidP="00CE4BC9">
            <w:pPr>
              <w:rPr>
                <w:rFonts w:cs="Calibri"/>
                <w:sz w:val="20"/>
                <w:szCs w:val="20"/>
              </w:rPr>
            </w:pPr>
          </w:p>
        </w:tc>
      </w:tr>
      <w:tr w:rsidR="00CE4BC9" w:rsidRPr="008B58EB" w14:paraId="403903E2" w14:textId="77777777">
        <w:tc>
          <w:tcPr>
            <w:tcW w:w="3307" w:type="dxa"/>
            <w:gridSpan w:val="5"/>
            <w:tcBorders>
              <w:top w:val="nil"/>
              <w:left w:val="nil"/>
              <w:bottom w:val="single" w:sz="4" w:space="0" w:color="auto"/>
              <w:right w:val="nil"/>
            </w:tcBorders>
            <w:vAlign w:val="center"/>
          </w:tcPr>
          <w:p w14:paraId="15DE186B" w14:textId="77777777" w:rsidR="00CE4BC9" w:rsidRPr="008B58EB" w:rsidRDefault="00CE4BC9" w:rsidP="00CE4BC9">
            <w:pPr>
              <w:rPr>
                <w:rFonts w:cs="Calibri"/>
                <w:sz w:val="20"/>
                <w:szCs w:val="20"/>
              </w:rPr>
            </w:pPr>
            <w:r w:rsidRPr="008B58EB">
              <w:rPr>
                <w:rFonts w:cs="Calibri"/>
                <w:sz w:val="20"/>
                <w:szCs w:val="20"/>
              </w:rPr>
              <w:t>Študijski program in stopnja</w:t>
            </w:r>
          </w:p>
          <w:p w14:paraId="045B7121" w14:textId="77777777" w:rsidR="00CE4BC9" w:rsidRPr="00B60F70" w:rsidRDefault="00CE4BC9" w:rsidP="00CE4BC9">
            <w:pPr>
              <w:rPr>
                <w:rFonts w:cs="Calibri"/>
                <w:sz w:val="20"/>
                <w:szCs w:val="20"/>
                <w:lang w:val="en-GB"/>
              </w:rPr>
            </w:pPr>
            <w:r w:rsidRPr="00B60F70">
              <w:rPr>
                <w:rFonts w:cs="Calibri"/>
                <w:sz w:val="20"/>
                <w:szCs w:val="20"/>
                <w:lang w:val="en-GB"/>
              </w:rPr>
              <w:t>Study</w:t>
            </w:r>
            <w:r w:rsidR="00281D7B" w:rsidRPr="00B60F70">
              <w:rPr>
                <w:rFonts w:cs="Calibri"/>
                <w:sz w:val="20"/>
                <w:szCs w:val="20"/>
                <w:lang w:val="en-GB"/>
              </w:rPr>
              <w:t xml:space="preserve"> </w:t>
            </w:r>
            <w:r w:rsidRPr="00B60F70">
              <w:rPr>
                <w:rFonts w:cs="Calibri"/>
                <w:sz w:val="20"/>
                <w:szCs w:val="20"/>
                <w:lang w:val="en-GB"/>
              </w:rPr>
              <w:t>programme</w:t>
            </w:r>
            <w:r w:rsidR="00281D7B" w:rsidRPr="00B60F70">
              <w:rPr>
                <w:rFonts w:cs="Calibri"/>
                <w:sz w:val="20"/>
                <w:szCs w:val="20"/>
                <w:lang w:val="en-GB"/>
              </w:rPr>
              <w:t xml:space="preserve"> </w:t>
            </w:r>
            <w:r w:rsidRPr="00B60F70">
              <w:rPr>
                <w:rFonts w:cs="Calibri"/>
                <w:sz w:val="20"/>
                <w:szCs w:val="20"/>
                <w:lang w:val="en-GB"/>
              </w:rPr>
              <w:t>and</w:t>
            </w:r>
            <w:r w:rsidR="00281D7B" w:rsidRPr="00B60F70">
              <w:rPr>
                <w:rFonts w:cs="Calibri"/>
                <w:sz w:val="20"/>
                <w:szCs w:val="20"/>
                <w:lang w:val="en-GB"/>
              </w:rPr>
              <w:t xml:space="preserve"> </w:t>
            </w:r>
            <w:r w:rsidRPr="00B60F70">
              <w:rPr>
                <w:rFonts w:cs="Calibri"/>
                <w:sz w:val="20"/>
                <w:szCs w:val="20"/>
                <w:lang w:val="en-GB"/>
              </w:rPr>
              <w:t>level</w:t>
            </w:r>
          </w:p>
        </w:tc>
        <w:tc>
          <w:tcPr>
            <w:tcW w:w="3401" w:type="dxa"/>
            <w:gridSpan w:val="8"/>
            <w:tcBorders>
              <w:top w:val="nil"/>
              <w:left w:val="nil"/>
              <w:bottom w:val="single" w:sz="4" w:space="0" w:color="auto"/>
              <w:right w:val="nil"/>
            </w:tcBorders>
            <w:vAlign w:val="center"/>
          </w:tcPr>
          <w:p w14:paraId="430FB191" w14:textId="77777777" w:rsidR="00CE4BC9" w:rsidRPr="008B58EB" w:rsidRDefault="00CE4BC9" w:rsidP="00CE4BC9">
            <w:pPr>
              <w:rPr>
                <w:rFonts w:cs="Calibri"/>
                <w:sz w:val="20"/>
                <w:szCs w:val="20"/>
              </w:rPr>
            </w:pPr>
            <w:r w:rsidRPr="008B58EB">
              <w:rPr>
                <w:rFonts w:cs="Calibri"/>
                <w:sz w:val="20"/>
                <w:szCs w:val="20"/>
              </w:rPr>
              <w:t>Študijska smer</w:t>
            </w:r>
          </w:p>
          <w:p w14:paraId="4C1BD274" w14:textId="77777777" w:rsidR="00CE4BC9" w:rsidRPr="00B60F70" w:rsidRDefault="00CE4BC9" w:rsidP="00CE4BC9">
            <w:pPr>
              <w:rPr>
                <w:rFonts w:cs="Calibri"/>
                <w:sz w:val="20"/>
                <w:szCs w:val="20"/>
                <w:lang w:val="en-GB"/>
              </w:rPr>
            </w:pPr>
            <w:r w:rsidRPr="00B60F70">
              <w:rPr>
                <w:rFonts w:cs="Calibri"/>
                <w:sz w:val="20"/>
                <w:szCs w:val="20"/>
                <w:lang w:val="en-GB"/>
              </w:rPr>
              <w:t>Study</w:t>
            </w:r>
            <w:r w:rsidR="00281D7B" w:rsidRPr="00B60F70">
              <w:rPr>
                <w:rFonts w:cs="Calibri"/>
                <w:sz w:val="20"/>
                <w:szCs w:val="20"/>
                <w:lang w:val="en-GB"/>
              </w:rPr>
              <w:t xml:space="preserve"> </w:t>
            </w:r>
            <w:r w:rsidRPr="00B60F70">
              <w:rPr>
                <w:rFonts w:cs="Calibri"/>
                <w:sz w:val="20"/>
                <w:szCs w:val="20"/>
                <w:lang w:val="en-GB"/>
              </w:rPr>
              <w:t>field</w:t>
            </w:r>
          </w:p>
        </w:tc>
        <w:tc>
          <w:tcPr>
            <w:tcW w:w="1558" w:type="dxa"/>
            <w:gridSpan w:val="2"/>
            <w:tcBorders>
              <w:top w:val="nil"/>
              <w:left w:val="nil"/>
              <w:bottom w:val="single" w:sz="4" w:space="0" w:color="auto"/>
              <w:right w:val="nil"/>
            </w:tcBorders>
            <w:vAlign w:val="center"/>
          </w:tcPr>
          <w:p w14:paraId="6265909E" w14:textId="77777777" w:rsidR="00CE4BC9" w:rsidRPr="008B58EB" w:rsidRDefault="00CE4BC9" w:rsidP="00CE4BC9">
            <w:pPr>
              <w:rPr>
                <w:rFonts w:cs="Calibri"/>
                <w:sz w:val="20"/>
                <w:szCs w:val="20"/>
              </w:rPr>
            </w:pPr>
            <w:r w:rsidRPr="008B58EB">
              <w:rPr>
                <w:rFonts w:cs="Calibri"/>
                <w:sz w:val="20"/>
                <w:szCs w:val="20"/>
              </w:rPr>
              <w:t>Letnik</w:t>
            </w:r>
          </w:p>
          <w:p w14:paraId="6D69ED7D" w14:textId="77777777" w:rsidR="00CE4BC9" w:rsidRPr="00B60F70" w:rsidRDefault="00CE4BC9" w:rsidP="00CE4BC9">
            <w:pPr>
              <w:rPr>
                <w:rFonts w:cs="Calibri"/>
                <w:sz w:val="20"/>
                <w:szCs w:val="20"/>
                <w:lang w:val="en-GB"/>
              </w:rPr>
            </w:pPr>
            <w:r w:rsidRPr="00B60F70">
              <w:rPr>
                <w:rFonts w:cs="Calibri"/>
                <w:sz w:val="20"/>
                <w:szCs w:val="20"/>
                <w:lang w:val="en-GB"/>
              </w:rPr>
              <w:t>Academic</w:t>
            </w:r>
            <w:r w:rsidR="00281D7B" w:rsidRPr="00B60F70">
              <w:rPr>
                <w:rFonts w:cs="Calibri"/>
                <w:sz w:val="20"/>
                <w:szCs w:val="20"/>
                <w:lang w:val="en-GB"/>
              </w:rPr>
              <w:t xml:space="preserve"> </w:t>
            </w:r>
            <w:r w:rsidRPr="00B60F70">
              <w:rPr>
                <w:rFonts w:cs="Calibri"/>
                <w:sz w:val="20"/>
                <w:szCs w:val="20"/>
                <w:lang w:val="en-GB"/>
              </w:rPr>
              <w:t>year</w:t>
            </w:r>
          </w:p>
        </w:tc>
        <w:tc>
          <w:tcPr>
            <w:tcW w:w="1424" w:type="dxa"/>
            <w:gridSpan w:val="3"/>
            <w:tcBorders>
              <w:top w:val="nil"/>
              <w:left w:val="nil"/>
              <w:bottom w:val="single" w:sz="4" w:space="0" w:color="auto"/>
              <w:right w:val="nil"/>
            </w:tcBorders>
            <w:vAlign w:val="center"/>
          </w:tcPr>
          <w:p w14:paraId="13C8CA6D" w14:textId="77777777" w:rsidR="00CE4BC9" w:rsidRPr="008B58EB" w:rsidRDefault="00CE4BC9" w:rsidP="00CE4BC9">
            <w:pPr>
              <w:rPr>
                <w:rFonts w:cs="Calibri"/>
                <w:sz w:val="20"/>
                <w:szCs w:val="20"/>
              </w:rPr>
            </w:pPr>
            <w:r w:rsidRPr="008B58EB">
              <w:rPr>
                <w:rFonts w:cs="Calibri"/>
                <w:sz w:val="20"/>
                <w:szCs w:val="20"/>
              </w:rPr>
              <w:t>Semester</w:t>
            </w:r>
          </w:p>
          <w:p w14:paraId="190A6E5F" w14:textId="77777777" w:rsidR="00CE4BC9" w:rsidRPr="008B58EB" w:rsidRDefault="00CE4BC9" w:rsidP="00CE4BC9">
            <w:pPr>
              <w:rPr>
                <w:rFonts w:cs="Calibri"/>
                <w:sz w:val="20"/>
                <w:szCs w:val="20"/>
              </w:rPr>
            </w:pPr>
            <w:r w:rsidRPr="008B58EB">
              <w:rPr>
                <w:rFonts w:cs="Calibri"/>
                <w:sz w:val="20"/>
                <w:szCs w:val="20"/>
              </w:rPr>
              <w:t>Semester</w:t>
            </w:r>
          </w:p>
        </w:tc>
      </w:tr>
      <w:tr w:rsidR="004E493D" w:rsidRPr="008B58EB" w14:paraId="0146F3E7" w14:textId="7777777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656D8FB" w14:textId="77777777" w:rsidR="004E493D" w:rsidRPr="008B58EB" w:rsidRDefault="004E493D" w:rsidP="004E493D">
            <w:pPr>
              <w:rPr>
                <w:rFonts w:cs="Calibri"/>
                <w:bCs/>
                <w:sz w:val="20"/>
                <w:szCs w:val="20"/>
              </w:rPr>
            </w:pPr>
            <w:r w:rsidRPr="00921EDA">
              <w:rPr>
                <w:rFonts w:asciiTheme="minorHAnsi" w:hAnsiTheme="minorHAnsi" w:cstheme="minorHAnsi"/>
                <w:b/>
                <w:bCs/>
                <w:sz w:val="20"/>
                <w:szCs w:val="20"/>
              </w:rPr>
              <w:t>Enoviti</w:t>
            </w:r>
            <w:r w:rsidR="00281D7B" w:rsidRPr="00921EDA">
              <w:rPr>
                <w:rFonts w:asciiTheme="minorHAnsi" w:hAnsiTheme="minorHAnsi" w:cstheme="minorHAnsi"/>
                <w:b/>
                <w:bCs/>
                <w:sz w:val="20"/>
                <w:szCs w:val="20"/>
              </w:rPr>
              <w:t xml:space="preserve"> </w:t>
            </w:r>
            <w:r w:rsidRPr="00921EDA">
              <w:rPr>
                <w:rFonts w:asciiTheme="minorHAnsi" w:hAnsiTheme="minorHAnsi" w:cstheme="minorHAnsi"/>
                <w:b/>
                <w:bCs/>
                <w:sz w:val="20"/>
                <w:szCs w:val="20"/>
              </w:rPr>
              <w:t>magistrski</w:t>
            </w:r>
            <w:r w:rsidR="00281D7B" w:rsidRPr="00921EDA">
              <w:rPr>
                <w:rFonts w:asciiTheme="minorHAnsi" w:hAnsiTheme="minorHAnsi" w:cstheme="minorHAnsi"/>
                <w:b/>
                <w:bCs/>
                <w:sz w:val="20"/>
                <w:szCs w:val="20"/>
              </w:rPr>
              <w:t xml:space="preserve"> </w:t>
            </w:r>
            <w:r w:rsidRPr="00921EDA">
              <w:rPr>
                <w:rFonts w:asciiTheme="minorHAnsi" w:hAnsiTheme="minorHAnsi" w:cstheme="minorHAnsi"/>
                <w:b/>
                <w:bCs/>
                <w:sz w:val="20"/>
                <w:szCs w:val="20"/>
              </w:rPr>
              <w:t>študijski</w:t>
            </w:r>
            <w:r w:rsidR="00281D7B" w:rsidRPr="00921EDA">
              <w:rPr>
                <w:rFonts w:asciiTheme="minorHAnsi" w:hAnsiTheme="minorHAnsi" w:cstheme="minorHAnsi"/>
                <w:b/>
                <w:bCs/>
                <w:sz w:val="20"/>
                <w:szCs w:val="20"/>
              </w:rPr>
              <w:t xml:space="preserve"> </w:t>
            </w:r>
            <w:r w:rsidRPr="00921EDA">
              <w:rPr>
                <w:rFonts w:asciiTheme="minorHAnsi" w:hAnsiTheme="minorHAnsi" w:cstheme="minorHAnsi"/>
                <w:b/>
                <w:bCs/>
                <w:sz w:val="20"/>
                <w:szCs w:val="20"/>
              </w:rPr>
              <w:t>program</w:t>
            </w:r>
            <w:r w:rsidRPr="00663182">
              <w:rPr>
                <w:rFonts w:asciiTheme="minorHAnsi" w:hAnsiTheme="minorHAnsi" w:cstheme="minorHAnsi"/>
                <w:b/>
                <w:bCs/>
                <w:sz w:val="20"/>
                <w:szCs w:val="20"/>
                <w:lang w:val="it-IT"/>
              </w:rPr>
              <w:t xml:space="preserve"> Pravo</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2CCEF3E5" w14:textId="77777777" w:rsidR="004E493D" w:rsidRPr="008B58EB" w:rsidRDefault="004E493D" w:rsidP="004E493D">
            <w:pPr>
              <w:rPr>
                <w:rFonts w:cs="Calibri"/>
                <w:bCs/>
                <w:sz w:val="20"/>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A6F6273" w14:textId="77777777" w:rsidR="004E493D" w:rsidRPr="008B58EB" w:rsidRDefault="004E493D" w:rsidP="004E493D">
            <w:pPr>
              <w:rPr>
                <w:rFonts w:cs="Calibri"/>
                <w:bCs/>
                <w:sz w:val="20"/>
                <w:szCs w:val="20"/>
              </w:rPr>
            </w:pPr>
            <w:r w:rsidRPr="008B58EB">
              <w:rPr>
                <w:b/>
                <w:sz w:val="20"/>
                <w:szCs w:val="20"/>
              </w:rPr>
              <w:t>Četrti</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3E20897A" w14:textId="77777777" w:rsidR="004E493D" w:rsidRPr="008B58EB" w:rsidRDefault="004E493D" w:rsidP="004E493D">
            <w:pPr>
              <w:rPr>
                <w:rFonts w:cs="Calibri"/>
                <w:bCs/>
                <w:sz w:val="20"/>
                <w:szCs w:val="20"/>
              </w:rPr>
            </w:pPr>
            <w:r w:rsidRPr="008B58EB">
              <w:rPr>
                <w:b/>
                <w:sz w:val="20"/>
                <w:szCs w:val="20"/>
              </w:rPr>
              <w:t>Sedmi in osmi</w:t>
            </w:r>
          </w:p>
        </w:tc>
      </w:tr>
      <w:tr w:rsidR="004E493D" w:rsidRPr="008B58EB" w14:paraId="57C0FE4F" w14:textId="77777777">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A078B95" w14:textId="77777777" w:rsidR="004E493D" w:rsidRPr="00B60F70" w:rsidRDefault="004E493D" w:rsidP="004E493D">
            <w:pPr>
              <w:rPr>
                <w:rFonts w:cs="Calibri"/>
                <w:bCs/>
                <w:sz w:val="20"/>
                <w:szCs w:val="20"/>
                <w:lang w:val="en-GB"/>
              </w:rPr>
            </w:pPr>
            <w:r w:rsidRPr="00B60F70">
              <w:rPr>
                <w:rFonts w:asciiTheme="minorHAnsi" w:hAnsiTheme="minorHAnsi" w:cstheme="minorHAnsi"/>
                <w:b/>
                <w:bCs/>
                <w:sz w:val="20"/>
                <w:szCs w:val="20"/>
                <w:lang w:val="en-GB"/>
              </w:rPr>
              <w:t>Integrated</w:t>
            </w:r>
            <w:r w:rsidR="00281D7B" w:rsidRPr="00B60F70">
              <w:rPr>
                <w:rFonts w:asciiTheme="minorHAnsi" w:hAnsiTheme="minorHAnsi" w:cstheme="minorHAnsi"/>
                <w:b/>
                <w:bCs/>
                <w:sz w:val="20"/>
                <w:szCs w:val="20"/>
                <w:lang w:val="en-GB"/>
              </w:rPr>
              <w:t xml:space="preserve"> </w:t>
            </w:r>
            <w:r w:rsidRPr="00B60F70">
              <w:rPr>
                <w:rFonts w:asciiTheme="minorHAnsi" w:hAnsiTheme="minorHAnsi" w:cstheme="minorHAnsi"/>
                <w:b/>
                <w:bCs/>
                <w:sz w:val="20"/>
                <w:szCs w:val="20"/>
                <w:lang w:val="en-GB"/>
              </w:rPr>
              <w:t>master</w:t>
            </w:r>
            <w:r w:rsidR="00281D7B" w:rsidRPr="00B60F70">
              <w:rPr>
                <w:rFonts w:asciiTheme="minorHAnsi" w:hAnsiTheme="minorHAnsi" w:cstheme="minorHAnsi"/>
                <w:b/>
                <w:bCs/>
                <w:sz w:val="20"/>
                <w:szCs w:val="20"/>
                <w:lang w:val="en-GB"/>
              </w:rPr>
              <w:t xml:space="preserve"> </w:t>
            </w:r>
            <w:r w:rsidRPr="00B60F70">
              <w:rPr>
                <w:rFonts w:asciiTheme="minorHAnsi" w:hAnsiTheme="minorHAnsi" w:cstheme="minorHAnsi"/>
                <w:b/>
                <w:bCs/>
                <w:sz w:val="20"/>
                <w:szCs w:val="20"/>
                <w:lang w:val="en-GB"/>
              </w:rPr>
              <w:t>study</w:t>
            </w:r>
            <w:r w:rsidR="00281D7B" w:rsidRPr="00B60F70">
              <w:rPr>
                <w:rFonts w:asciiTheme="minorHAnsi" w:hAnsiTheme="minorHAnsi" w:cstheme="minorHAnsi"/>
                <w:b/>
                <w:bCs/>
                <w:sz w:val="20"/>
                <w:szCs w:val="20"/>
                <w:lang w:val="en-GB"/>
              </w:rPr>
              <w:t xml:space="preserve"> </w:t>
            </w:r>
            <w:r w:rsidRPr="00B60F70">
              <w:rPr>
                <w:rFonts w:asciiTheme="minorHAnsi" w:hAnsiTheme="minorHAnsi" w:cstheme="minorHAnsi"/>
                <w:b/>
                <w:bCs/>
                <w:sz w:val="20"/>
                <w:szCs w:val="20"/>
                <w:lang w:val="en-GB"/>
              </w:rPr>
              <w:t>programme</w:t>
            </w:r>
            <w:r w:rsidR="00281D7B" w:rsidRPr="00B60F70">
              <w:rPr>
                <w:rFonts w:asciiTheme="minorHAnsi" w:hAnsiTheme="minorHAnsi" w:cstheme="minorHAnsi"/>
                <w:b/>
                <w:bCs/>
                <w:sz w:val="20"/>
                <w:szCs w:val="20"/>
                <w:lang w:val="en-GB"/>
              </w:rPr>
              <w:t xml:space="preserve"> </w:t>
            </w:r>
            <w:r w:rsidRPr="00B60F70">
              <w:rPr>
                <w:rFonts w:asciiTheme="minorHAnsi" w:hAnsiTheme="minorHAnsi" w:cstheme="minorHAnsi"/>
                <w:b/>
                <w:bCs/>
                <w:sz w:val="20"/>
                <w:szCs w:val="20"/>
                <w:lang w:val="en-GB"/>
              </w:rPr>
              <w:t>Law</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2E82A27B" w14:textId="77777777" w:rsidR="004E493D" w:rsidRPr="008B58EB" w:rsidRDefault="004E493D" w:rsidP="004E493D">
            <w:pPr>
              <w:rPr>
                <w:rFonts w:cs="Calibri"/>
                <w:bCs/>
                <w:sz w:val="20"/>
                <w:szCs w:val="20"/>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4A0155F" w14:textId="77777777" w:rsidR="004E493D" w:rsidRPr="005E373F" w:rsidRDefault="00CC5719" w:rsidP="004E493D">
            <w:pPr>
              <w:rPr>
                <w:rFonts w:cs="Calibri"/>
                <w:b/>
                <w:bCs/>
                <w:sz w:val="20"/>
                <w:szCs w:val="20"/>
              </w:rPr>
            </w:pPr>
            <w:r w:rsidRPr="005E373F">
              <w:rPr>
                <w:rFonts w:cs="Calibri"/>
                <w:b/>
                <w:bCs/>
                <w:sz w:val="20"/>
                <w:szCs w:val="20"/>
                <w:lang w:val="en-GB"/>
              </w:rPr>
              <w:t>Fourth</w:t>
            </w:r>
          </w:p>
        </w:tc>
        <w:tc>
          <w:tcPr>
            <w:tcW w:w="1424" w:type="dxa"/>
            <w:gridSpan w:val="3"/>
            <w:tcBorders>
              <w:top w:val="single" w:sz="4" w:space="0" w:color="auto"/>
              <w:left w:val="single" w:sz="4" w:space="0" w:color="auto"/>
              <w:bottom w:val="single" w:sz="4" w:space="0" w:color="auto"/>
              <w:right w:val="single" w:sz="4" w:space="0" w:color="auto"/>
            </w:tcBorders>
            <w:vAlign w:val="center"/>
          </w:tcPr>
          <w:p w14:paraId="6C60C70C" w14:textId="77777777" w:rsidR="004E493D" w:rsidRPr="005E373F" w:rsidRDefault="00CC5719" w:rsidP="004E493D">
            <w:pPr>
              <w:rPr>
                <w:rFonts w:cs="Calibri"/>
                <w:b/>
                <w:bCs/>
                <w:sz w:val="20"/>
                <w:szCs w:val="20"/>
              </w:rPr>
            </w:pPr>
            <w:r w:rsidRPr="005E373F">
              <w:rPr>
                <w:rFonts w:cs="Calibri"/>
                <w:b/>
                <w:bCs/>
                <w:sz w:val="20"/>
                <w:szCs w:val="20"/>
                <w:lang w:val="en-GB"/>
              </w:rPr>
              <w:t>Seventh and eighth</w:t>
            </w:r>
          </w:p>
        </w:tc>
      </w:tr>
      <w:tr w:rsidR="00CE4BC9" w:rsidRPr="008B58EB" w14:paraId="0499B787" w14:textId="77777777">
        <w:trPr>
          <w:trHeight w:val="103"/>
        </w:trPr>
        <w:tc>
          <w:tcPr>
            <w:tcW w:w="9690" w:type="dxa"/>
            <w:gridSpan w:val="18"/>
          </w:tcPr>
          <w:p w14:paraId="21E90CB8" w14:textId="77777777" w:rsidR="00CE4BC9" w:rsidRPr="008B58EB" w:rsidRDefault="00CE4BC9" w:rsidP="00CE4BC9">
            <w:pPr>
              <w:rPr>
                <w:rFonts w:cs="Calibri"/>
                <w:bCs/>
                <w:sz w:val="20"/>
                <w:szCs w:val="20"/>
              </w:rPr>
            </w:pPr>
          </w:p>
        </w:tc>
      </w:tr>
      <w:tr w:rsidR="00CE4BC9" w:rsidRPr="008B58EB" w14:paraId="3AF02096" w14:textId="77777777">
        <w:tc>
          <w:tcPr>
            <w:tcW w:w="5718" w:type="dxa"/>
            <w:gridSpan w:val="12"/>
            <w:tcBorders>
              <w:top w:val="nil"/>
              <w:left w:val="nil"/>
              <w:bottom w:val="nil"/>
              <w:right w:val="single" w:sz="4" w:space="0" w:color="auto"/>
            </w:tcBorders>
          </w:tcPr>
          <w:p w14:paraId="182270DD" w14:textId="77777777" w:rsidR="00CE4BC9" w:rsidRPr="008B58EB" w:rsidRDefault="00CE4BC9" w:rsidP="00CE4BC9">
            <w:pPr>
              <w:rPr>
                <w:rFonts w:cs="Calibri"/>
                <w:sz w:val="20"/>
                <w:szCs w:val="20"/>
              </w:rPr>
            </w:pPr>
            <w:r w:rsidRPr="008B58EB">
              <w:rPr>
                <w:rFonts w:cs="Calibri"/>
                <w:sz w:val="20"/>
                <w:szCs w:val="20"/>
              </w:rPr>
              <w:t xml:space="preserve">Vrsta predmeta / </w:t>
            </w:r>
            <w:r w:rsidRPr="00B60F70">
              <w:rPr>
                <w:rFonts w:cs="Calibri"/>
                <w:sz w:val="20"/>
                <w:szCs w:val="20"/>
                <w:lang w:val="en-GB"/>
              </w:rPr>
              <w:t>Course</w:t>
            </w:r>
            <w:r w:rsidR="00B60F70" w:rsidRPr="00B60F70">
              <w:rPr>
                <w:rFonts w:cs="Calibri"/>
                <w:sz w:val="20"/>
                <w:szCs w:val="20"/>
                <w:lang w:val="en-GB"/>
              </w:rPr>
              <w:t xml:space="preserve"> </w:t>
            </w:r>
            <w:r w:rsidRPr="00B60F70">
              <w:rPr>
                <w:rFonts w:cs="Calibri"/>
                <w:sz w:val="20"/>
                <w:szCs w:val="20"/>
                <w:lang w:val="en-GB"/>
              </w:rPr>
              <w:t>type</w:t>
            </w:r>
          </w:p>
        </w:tc>
        <w:tc>
          <w:tcPr>
            <w:tcW w:w="3972" w:type="dxa"/>
            <w:gridSpan w:val="6"/>
            <w:tcBorders>
              <w:top w:val="single" w:sz="4" w:space="0" w:color="auto"/>
              <w:left w:val="single" w:sz="4" w:space="0" w:color="auto"/>
              <w:bottom w:val="single" w:sz="4" w:space="0" w:color="auto"/>
              <w:right w:val="single" w:sz="4" w:space="0" w:color="auto"/>
            </w:tcBorders>
          </w:tcPr>
          <w:p w14:paraId="7C509850" w14:textId="77777777" w:rsidR="00CE4BC9" w:rsidRPr="008B58EB" w:rsidRDefault="00CE4BC9" w:rsidP="00CE4BC9">
            <w:pPr>
              <w:rPr>
                <w:rFonts w:cs="Calibri"/>
                <w:sz w:val="20"/>
                <w:szCs w:val="20"/>
              </w:rPr>
            </w:pPr>
            <w:r w:rsidRPr="008B58EB">
              <w:rPr>
                <w:b/>
                <w:sz w:val="20"/>
                <w:szCs w:val="20"/>
              </w:rPr>
              <w:t xml:space="preserve">Obvezen </w:t>
            </w:r>
            <w:r w:rsidR="004E493D">
              <w:rPr>
                <w:b/>
                <w:sz w:val="20"/>
                <w:szCs w:val="20"/>
              </w:rPr>
              <w:t xml:space="preserve">/ </w:t>
            </w:r>
            <w:r w:rsidR="004E493D" w:rsidRPr="00B60F70">
              <w:rPr>
                <w:b/>
                <w:sz w:val="20"/>
                <w:szCs w:val="20"/>
                <w:lang w:val="en-GB"/>
              </w:rPr>
              <w:t>mandatory</w:t>
            </w:r>
          </w:p>
        </w:tc>
      </w:tr>
      <w:tr w:rsidR="00CE4BC9" w:rsidRPr="008B58EB" w14:paraId="1D8757DC" w14:textId="77777777">
        <w:tc>
          <w:tcPr>
            <w:tcW w:w="5718" w:type="dxa"/>
            <w:gridSpan w:val="12"/>
          </w:tcPr>
          <w:p w14:paraId="291EE725" w14:textId="77777777" w:rsidR="00CE4BC9" w:rsidRPr="008B58EB" w:rsidRDefault="00CE4BC9" w:rsidP="00CE4BC9">
            <w:pPr>
              <w:rPr>
                <w:rFonts w:cs="Calibri"/>
                <w:sz w:val="20"/>
                <w:szCs w:val="20"/>
              </w:rPr>
            </w:pPr>
          </w:p>
        </w:tc>
        <w:tc>
          <w:tcPr>
            <w:tcW w:w="3972" w:type="dxa"/>
            <w:gridSpan w:val="6"/>
            <w:tcBorders>
              <w:top w:val="single" w:sz="4" w:space="0" w:color="auto"/>
              <w:left w:val="nil"/>
              <w:bottom w:val="single" w:sz="4" w:space="0" w:color="auto"/>
              <w:right w:val="nil"/>
            </w:tcBorders>
          </w:tcPr>
          <w:p w14:paraId="21964950" w14:textId="77777777" w:rsidR="00CE4BC9" w:rsidRPr="008B58EB" w:rsidRDefault="00CE4BC9" w:rsidP="00CE4BC9">
            <w:pPr>
              <w:rPr>
                <w:rFonts w:cs="Calibri"/>
                <w:sz w:val="20"/>
                <w:szCs w:val="20"/>
              </w:rPr>
            </w:pPr>
          </w:p>
        </w:tc>
      </w:tr>
      <w:tr w:rsidR="00CE4BC9" w:rsidRPr="008B58EB" w14:paraId="0AEA943E" w14:textId="77777777">
        <w:tc>
          <w:tcPr>
            <w:tcW w:w="5718" w:type="dxa"/>
            <w:gridSpan w:val="12"/>
            <w:tcBorders>
              <w:top w:val="nil"/>
              <w:left w:val="nil"/>
              <w:bottom w:val="nil"/>
              <w:right w:val="single" w:sz="4" w:space="0" w:color="auto"/>
            </w:tcBorders>
          </w:tcPr>
          <w:p w14:paraId="6C424592" w14:textId="77777777" w:rsidR="00CE4BC9" w:rsidRPr="008B58EB" w:rsidRDefault="00CE4BC9" w:rsidP="00CE4BC9">
            <w:pPr>
              <w:rPr>
                <w:rFonts w:cs="Calibri"/>
                <w:sz w:val="20"/>
                <w:szCs w:val="20"/>
              </w:rPr>
            </w:pPr>
            <w:r w:rsidRPr="008B58EB">
              <w:rPr>
                <w:rFonts w:cs="Calibri"/>
                <w:sz w:val="20"/>
                <w:szCs w:val="20"/>
              </w:rPr>
              <w:t xml:space="preserve">Univerzitetna koda predmeta / </w:t>
            </w:r>
            <w:r w:rsidRPr="00B60F70">
              <w:rPr>
                <w:rFonts w:cs="Calibri"/>
                <w:sz w:val="20"/>
                <w:szCs w:val="20"/>
                <w:lang w:val="en-GB"/>
              </w:rPr>
              <w:t>University</w:t>
            </w:r>
            <w:r w:rsidR="00B60F70" w:rsidRPr="00B60F70">
              <w:rPr>
                <w:rFonts w:cs="Calibri"/>
                <w:sz w:val="20"/>
                <w:szCs w:val="20"/>
                <w:lang w:val="en-GB"/>
              </w:rPr>
              <w:t xml:space="preserve"> </w:t>
            </w:r>
            <w:r w:rsidRPr="00B60F70">
              <w:rPr>
                <w:rFonts w:cs="Calibri"/>
                <w:sz w:val="20"/>
                <w:szCs w:val="20"/>
                <w:lang w:val="en-GB"/>
              </w:rPr>
              <w:t>course</w:t>
            </w:r>
            <w:r w:rsidR="00B60F70" w:rsidRPr="00B60F70">
              <w:rPr>
                <w:rFonts w:cs="Calibri"/>
                <w:sz w:val="20"/>
                <w:szCs w:val="20"/>
                <w:lang w:val="en-GB"/>
              </w:rPr>
              <w:t xml:space="preserve"> </w:t>
            </w:r>
            <w:r w:rsidRPr="00B60F70">
              <w:rPr>
                <w:rFonts w:cs="Calibri"/>
                <w:sz w:val="20"/>
                <w:szCs w:val="20"/>
                <w:lang w:val="en-GB"/>
              </w:rPr>
              <w:t>code:</w:t>
            </w:r>
          </w:p>
        </w:tc>
        <w:tc>
          <w:tcPr>
            <w:tcW w:w="3972" w:type="dxa"/>
            <w:gridSpan w:val="6"/>
            <w:tcBorders>
              <w:top w:val="single" w:sz="4" w:space="0" w:color="auto"/>
              <w:left w:val="single" w:sz="4" w:space="0" w:color="auto"/>
              <w:bottom w:val="single" w:sz="4" w:space="0" w:color="auto"/>
              <w:right w:val="single" w:sz="4" w:space="0" w:color="auto"/>
            </w:tcBorders>
          </w:tcPr>
          <w:p w14:paraId="4573EA26" w14:textId="77777777" w:rsidR="00CE4BC9" w:rsidRPr="008B58EB" w:rsidRDefault="00CE4BC9" w:rsidP="00CE4BC9">
            <w:pPr>
              <w:rPr>
                <w:rFonts w:cs="Calibri"/>
                <w:sz w:val="20"/>
                <w:szCs w:val="20"/>
              </w:rPr>
            </w:pPr>
          </w:p>
        </w:tc>
      </w:tr>
      <w:tr w:rsidR="00CE4BC9" w:rsidRPr="008B58EB" w14:paraId="61DFFACD" w14:textId="77777777">
        <w:tc>
          <w:tcPr>
            <w:tcW w:w="9690" w:type="dxa"/>
            <w:gridSpan w:val="18"/>
          </w:tcPr>
          <w:p w14:paraId="6445B93B" w14:textId="77777777" w:rsidR="00CE4BC9" w:rsidRPr="008B58EB" w:rsidRDefault="00CE4BC9" w:rsidP="00CE4BC9">
            <w:pPr>
              <w:rPr>
                <w:rFonts w:cs="Calibri"/>
                <w:sz w:val="20"/>
                <w:szCs w:val="20"/>
              </w:rPr>
            </w:pPr>
          </w:p>
        </w:tc>
      </w:tr>
      <w:tr w:rsidR="00CE4BC9" w:rsidRPr="008B58EB" w14:paraId="2BAF9E26" w14:textId="77777777">
        <w:tc>
          <w:tcPr>
            <w:tcW w:w="1410" w:type="dxa"/>
            <w:tcBorders>
              <w:top w:val="nil"/>
              <w:left w:val="nil"/>
              <w:bottom w:val="single" w:sz="4" w:space="0" w:color="auto"/>
              <w:right w:val="nil"/>
            </w:tcBorders>
            <w:vAlign w:val="center"/>
          </w:tcPr>
          <w:p w14:paraId="68A579AA" w14:textId="77777777" w:rsidR="00CE4BC9" w:rsidRPr="008B58EB" w:rsidRDefault="00CE4BC9" w:rsidP="00CE4BC9">
            <w:pPr>
              <w:rPr>
                <w:rFonts w:cs="Calibri"/>
                <w:sz w:val="20"/>
                <w:szCs w:val="20"/>
              </w:rPr>
            </w:pPr>
            <w:r w:rsidRPr="008B58EB">
              <w:rPr>
                <w:rFonts w:cs="Calibri"/>
                <w:sz w:val="20"/>
                <w:szCs w:val="20"/>
              </w:rPr>
              <w:t>Predavanja</w:t>
            </w:r>
          </w:p>
          <w:p w14:paraId="2F395DE1" w14:textId="77777777" w:rsidR="00CE4BC9" w:rsidRPr="00B60F70" w:rsidRDefault="00CE4BC9" w:rsidP="00CE4BC9">
            <w:pPr>
              <w:rPr>
                <w:rFonts w:cs="Calibri"/>
                <w:sz w:val="20"/>
                <w:szCs w:val="20"/>
                <w:lang w:val="en-GB"/>
              </w:rPr>
            </w:pPr>
            <w:r w:rsidRPr="00B60F70">
              <w:rPr>
                <w:rFonts w:cs="Calibri"/>
                <w:sz w:val="20"/>
                <w:szCs w:val="20"/>
                <w:lang w:val="en-GB"/>
              </w:rPr>
              <w:t>Lectures</w:t>
            </w:r>
          </w:p>
        </w:tc>
        <w:tc>
          <w:tcPr>
            <w:tcW w:w="1410" w:type="dxa"/>
            <w:gridSpan w:val="3"/>
            <w:tcBorders>
              <w:top w:val="nil"/>
              <w:left w:val="nil"/>
              <w:bottom w:val="single" w:sz="4" w:space="0" w:color="auto"/>
              <w:right w:val="nil"/>
            </w:tcBorders>
            <w:vAlign w:val="center"/>
          </w:tcPr>
          <w:p w14:paraId="46D34286" w14:textId="77777777" w:rsidR="00CE4BC9" w:rsidRPr="008B58EB" w:rsidRDefault="00CE4BC9" w:rsidP="00CE4BC9">
            <w:pPr>
              <w:rPr>
                <w:rFonts w:cs="Calibri"/>
                <w:sz w:val="20"/>
                <w:szCs w:val="20"/>
              </w:rPr>
            </w:pPr>
            <w:r w:rsidRPr="008B58EB">
              <w:rPr>
                <w:rFonts w:cs="Calibri"/>
                <w:sz w:val="20"/>
                <w:szCs w:val="20"/>
              </w:rPr>
              <w:t>Seminar</w:t>
            </w:r>
          </w:p>
          <w:p w14:paraId="31ABFAF4" w14:textId="77777777" w:rsidR="00CE4BC9" w:rsidRPr="008B58EB" w:rsidRDefault="00CE4BC9" w:rsidP="00CE4BC9">
            <w:pPr>
              <w:rPr>
                <w:rFonts w:cs="Calibri"/>
                <w:sz w:val="20"/>
                <w:szCs w:val="20"/>
              </w:rPr>
            </w:pPr>
            <w:r w:rsidRPr="008B58EB">
              <w:rPr>
                <w:rFonts w:cs="Calibri"/>
                <w:sz w:val="20"/>
                <w:szCs w:val="20"/>
              </w:rPr>
              <w:t>Seminar</w:t>
            </w:r>
          </w:p>
        </w:tc>
        <w:tc>
          <w:tcPr>
            <w:tcW w:w="1418" w:type="dxa"/>
            <w:gridSpan w:val="3"/>
            <w:tcBorders>
              <w:top w:val="nil"/>
              <w:left w:val="nil"/>
              <w:bottom w:val="single" w:sz="4" w:space="0" w:color="auto"/>
              <w:right w:val="nil"/>
            </w:tcBorders>
            <w:vAlign w:val="center"/>
          </w:tcPr>
          <w:p w14:paraId="2DC7282D" w14:textId="77777777" w:rsidR="00CE4BC9" w:rsidRPr="008B58EB" w:rsidRDefault="00CE4BC9" w:rsidP="00CE4BC9">
            <w:pPr>
              <w:rPr>
                <w:rFonts w:cs="Calibri"/>
                <w:sz w:val="20"/>
                <w:szCs w:val="20"/>
              </w:rPr>
            </w:pPr>
            <w:r w:rsidRPr="008B58EB">
              <w:rPr>
                <w:rFonts w:cs="Calibri"/>
                <w:sz w:val="20"/>
                <w:szCs w:val="20"/>
              </w:rPr>
              <w:t>Vaje</w:t>
            </w:r>
          </w:p>
          <w:p w14:paraId="4C5D0F67" w14:textId="77777777" w:rsidR="00CE4BC9" w:rsidRPr="00B60F70" w:rsidRDefault="00CE4BC9" w:rsidP="00CE4BC9">
            <w:pPr>
              <w:rPr>
                <w:rFonts w:cs="Calibri"/>
                <w:sz w:val="20"/>
                <w:szCs w:val="20"/>
                <w:lang w:val="en-GB"/>
              </w:rPr>
            </w:pPr>
            <w:r w:rsidRPr="00B60F70">
              <w:rPr>
                <w:rFonts w:cs="Calibri"/>
                <w:sz w:val="20"/>
                <w:szCs w:val="20"/>
                <w:lang w:val="en-GB"/>
              </w:rPr>
              <w:t>Tutorial</w:t>
            </w:r>
          </w:p>
        </w:tc>
        <w:tc>
          <w:tcPr>
            <w:tcW w:w="1418" w:type="dxa"/>
            <w:gridSpan w:val="4"/>
            <w:tcBorders>
              <w:top w:val="nil"/>
              <w:left w:val="nil"/>
              <w:bottom w:val="single" w:sz="4" w:space="0" w:color="auto"/>
              <w:right w:val="nil"/>
            </w:tcBorders>
            <w:vAlign w:val="center"/>
          </w:tcPr>
          <w:p w14:paraId="2924C014" w14:textId="77777777" w:rsidR="00CE4BC9" w:rsidRPr="008B58EB" w:rsidRDefault="00CE4BC9" w:rsidP="00CE4BC9">
            <w:pPr>
              <w:rPr>
                <w:rFonts w:cs="Calibri"/>
                <w:sz w:val="20"/>
                <w:szCs w:val="20"/>
              </w:rPr>
            </w:pPr>
            <w:r w:rsidRPr="008B58EB">
              <w:rPr>
                <w:rFonts w:cs="Calibri"/>
                <w:sz w:val="20"/>
                <w:szCs w:val="20"/>
              </w:rPr>
              <w:t>Klinične vaje</w:t>
            </w:r>
          </w:p>
          <w:p w14:paraId="01E99B0F" w14:textId="77777777" w:rsidR="00CE4BC9" w:rsidRPr="00B60F70" w:rsidRDefault="00CC5719" w:rsidP="00CE4BC9">
            <w:pPr>
              <w:rPr>
                <w:rFonts w:cs="Calibri"/>
                <w:sz w:val="20"/>
                <w:szCs w:val="20"/>
                <w:lang w:val="en-GB"/>
              </w:rPr>
            </w:pPr>
            <w:r w:rsidRPr="00B60F70">
              <w:rPr>
                <w:rFonts w:cs="Calibri"/>
                <w:sz w:val="20"/>
                <w:szCs w:val="20"/>
                <w:lang w:val="en-GB"/>
              </w:rPr>
              <w:t>w</w:t>
            </w:r>
            <w:r w:rsidR="00CE4BC9" w:rsidRPr="00B60F70">
              <w:rPr>
                <w:rFonts w:cs="Calibri"/>
                <w:sz w:val="20"/>
                <w:szCs w:val="20"/>
                <w:lang w:val="en-GB"/>
              </w:rPr>
              <w:t>ork</w:t>
            </w:r>
          </w:p>
        </w:tc>
        <w:tc>
          <w:tcPr>
            <w:tcW w:w="1417" w:type="dxa"/>
            <w:gridSpan w:val="3"/>
            <w:tcBorders>
              <w:top w:val="nil"/>
              <w:left w:val="nil"/>
              <w:bottom w:val="single" w:sz="4" w:space="0" w:color="auto"/>
              <w:right w:val="nil"/>
            </w:tcBorders>
            <w:vAlign w:val="center"/>
          </w:tcPr>
          <w:p w14:paraId="79EE2F1D" w14:textId="77777777" w:rsidR="00CC5719" w:rsidRPr="008B58EB" w:rsidRDefault="00CE4BC9" w:rsidP="00CE4BC9">
            <w:pPr>
              <w:rPr>
                <w:rFonts w:cs="Calibri"/>
                <w:sz w:val="20"/>
                <w:szCs w:val="20"/>
              </w:rPr>
            </w:pPr>
            <w:r w:rsidRPr="008B58EB">
              <w:rPr>
                <w:rFonts w:cs="Calibri"/>
                <w:sz w:val="20"/>
                <w:szCs w:val="20"/>
              </w:rPr>
              <w:t>Druge oblike študija</w:t>
            </w:r>
          </w:p>
        </w:tc>
        <w:tc>
          <w:tcPr>
            <w:tcW w:w="1417" w:type="dxa"/>
            <w:gridSpan w:val="2"/>
            <w:tcBorders>
              <w:top w:val="nil"/>
              <w:left w:val="nil"/>
              <w:bottom w:val="single" w:sz="4" w:space="0" w:color="auto"/>
              <w:right w:val="nil"/>
            </w:tcBorders>
            <w:vAlign w:val="center"/>
          </w:tcPr>
          <w:p w14:paraId="4192733C" w14:textId="77777777" w:rsidR="00CE4BC9" w:rsidRPr="008B58EB" w:rsidRDefault="00CE4BC9" w:rsidP="00CE4BC9">
            <w:pPr>
              <w:rPr>
                <w:rFonts w:cs="Calibri"/>
                <w:sz w:val="20"/>
                <w:szCs w:val="20"/>
              </w:rPr>
            </w:pPr>
            <w:r w:rsidRPr="008B58EB">
              <w:rPr>
                <w:rFonts w:cs="Calibri"/>
                <w:sz w:val="20"/>
                <w:szCs w:val="20"/>
              </w:rPr>
              <w:t>Samost. delo</w:t>
            </w:r>
          </w:p>
          <w:p w14:paraId="2A5B8D67" w14:textId="77777777" w:rsidR="00CE4BC9" w:rsidRPr="00B60F70" w:rsidRDefault="00CE4BC9" w:rsidP="00CE4BC9">
            <w:pPr>
              <w:rPr>
                <w:rFonts w:cs="Calibri"/>
                <w:sz w:val="20"/>
                <w:szCs w:val="20"/>
                <w:lang w:val="en-GB"/>
              </w:rPr>
            </w:pPr>
            <w:r w:rsidRPr="00B60F70">
              <w:rPr>
                <w:rFonts w:cs="Calibri"/>
                <w:sz w:val="20"/>
                <w:szCs w:val="20"/>
                <w:lang w:val="en-GB"/>
              </w:rPr>
              <w:t>Individ. work</w:t>
            </w:r>
          </w:p>
        </w:tc>
        <w:tc>
          <w:tcPr>
            <w:tcW w:w="132" w:type="dxa"/>
            <w:vAlign w:val="center"/>
          </w:tcPr>
          <w:p w14:paraId="154C82A2" w14:textId="77777777" w:rsidR="00CE4BC9" w:rsidRPr="008B58EB" w:rsidRDefault="00CE4BC9" w:rsidP="00CE4BC9">
            <w:pPr>
              <w:rPr>
                <w:rFonts w:cs="Calibri"/>
                <w:bCs/>
                <w:sz w:val="20"/>
                <w:szCs w:val="20"/>
              </w:rPr>
            </w:pPr>
          </w:p>
        </w:tc>
        <w:tc>
          <w:tcPr>
            <w:tcW w:w="1068" w:type="dxa"/>
            <w:tcBorders>
              <w:top w:val="nil"/>
              <w:left w:val="nil"/>
              <w:bottom w:val="single" w:sz="4" w:space="0" w:color="auto"/>
              <w:right w:val="nil"/>
            </w:tcBorders>
            <w:vAlign w:val="center"/>
          </w:tcPr>
          <w:p w14:paraId="333C4F01" w14:textId="77777777" w:rsidR="00CE4BC9" w:rsidRPr="008B58EB" w:rsidRDefault="00CE4BC9" w:rsidP="00CE4BC9">
            <w:pPr>
              <w:rPr>
                <w:rFonts w:cs="Calibri"/>
                <w:sz w:val="20"/>
                <w:szCs w:val="20"/>
              </w:rPr>
            </w:pPr>
            <w:r w:rsidRPr="008B58EB">
              <w:rPr>
                <w:rFonts w:cs="Calibri"/>
                <w:sz w:val="20"/>
                <w:szCs w:val="20"/>
              </w:rPr>
              <w:t>ECTS</w:t>
            </w:r>
          </w:p>
        </w:tc>
      </w:tr>
      <w:tr w:rsidR="00CE4BC9" w:rsidRPr="008B58EB" w14:paraId="3489F237" w14:textId="77777777">
        <w:trPr>
          <w:trHeight w:val="318"/>
        </w:trPr>
        <w:tc>
          <w:tcPr>
            <w:tcW w:w="1410" w:type="dxa"/>
            <w:tcBorders>
              <w:top w:val="single" w:sz="4" w:space="0" w:color="auto"/>
              <w:left w:val="single" w:sz="4" w:space="0" w:color="auto"/>
              <w:bottom w:val="single" w:sz="4" w:space="0" w:color="auto"/>
              <w:right w:val="single" w:sz="4" w:space="0" w:color="auto"/>
            </w:tcBorders>
            <w:vAlign w:val="center"/>
          </w:tcPr>
          <w:p w14:paraId="0B52E7E8" w14:textId="4B84803A" w:rsidR="00CE4BC9" w:rsidRPr="008B58EB" w:rsidRDefault="00CF1FB5" w:rsidP="00CE4BC9">
            <w:pPr>
              <w:rPr>
                <w:rFonts w:cs="Calibri"/>
                <w:bCs/>
                <w:sz w:val="20"/>
                <w:szCs w:val="20"/>
              </w:rPr>
            </w:pPr>
            <w:r>
              <w:rPr>
                <w:rFonts w:cs="Calibri"/>
                <w:bCs/>
                <w:sz w:val="20"/>
                <w:szCs w:val="20"/>
              </w:rPr>
              <w:t>9</w:t>
            </w:r>
            <w:r w:rsidR="00CE4BC9" w:rsidRPr="008B58EB">
              <w:rPr>
                <w:rFonts w:cs="Calibri"/>
                <w:bCs/>
                <w:sz w:val="20"/>
                <w:szCs w:val="20"/>
              </w:rPr>
              <w:t>0</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0697696E" w14:textId="77777777" w:rsidR="00CE4BC9" w:rsidRPr="008B58EB" w:rsidRDefault="00CE4BC9" w:rsidP="00CE4BC9">
            <w:pPr>
              <w:rPr>
                <w:rFonts w:cs="Calibri"/>
                <w:bCs/>
                <w:sz w:val="2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9B452A3" w14:textId="353806A4" w:rsidR="00CE4BC9" w:rsidRPr="008B58EB" w:rsidRDefault="00CF1FB5" w:rsidP="00CE4BC9">
            <w:pPr>
              <w:rPr>
                <w:rFonts w:cs="Calibri"/>
                <w:bCs/>
                <w:sz w:val="20"/>
                <w:szCs w:val="20"/>
              </w:rPr>
            </w:pPr>
            <w:r>
              <w:rPr>
                <w:rFonts w:cs="Calibri"/>
                <w:bCs/>
                <w:sz w:val="20"/>
                <w:szCs w:val="20"/>
              </w:rPr>
              <w:t>3</w:t>
            </w:r>
            <w:r w:rsidR="005B1E4D">
              <w:rPr>
                <w:rFonts w:cs="Calibri"/>
                <w:bCs/>
                <w:sz w:val="20"/>
                <w:szCs w:val="20"/>
              </w:rPr>
              <w:t>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5D32177" w14:textId="77777777" w:rsidR="00CE4BC9" w:rsidRPr="008B58EB" w:rsidRDefault="00CE4BC9" w:rsidP="00CE4BC9">
            <w:pPr>
              <w:rPr>
                <w:rFonts w:cs="Calibri"/>
                <w:bCs/>
                <w:sz w:val="20"/>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FB79B95" w14:textId="77777777" w:rsidR="00CE4BC9" w:rsidRPr="008B58EB" w:rsidRDefault="00CE4BC9" w:rsidP="00CE4BC9">
            <w:pPr>
              <w:rPr>
                <w:rFonts w:cs="Calibri"/>
                <w:b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1D89CAA" w14:textId="77777777" w:rsidR="00CE4BC9" w:rsidRPr="008B58EB" w:rsidRDefault="004E493D" w:rsidP="00CE4BC9">
            <w:pPr>
              <w:rPr>
                <w:rFonts w:cs="Calibri"/>
                <w:bCs/>
                <w:sz w:val="20"/>
                <w:szCs w:val="20"/>
              </w:rPr>
            </w:pPr>
            <w:r>
              <w:rPr>
                <w:rFonts w:cs="Calibri"/>
                <w:bCs/>
                <w:sz w:val="20"/>
                <w:szCs w:val="20"/>
              </w:rPr>
              <w:t>120</w:t>
            </w:r>
          </w:p>
        </w:tc>
        <w:tc>
          <w:tcPr>
            <w:tcW w:w="132" w:type="dxa"/>
            <w:tcBorders>
              <w:top w:val="nil"/>
              <w:left w:val="single" w:sz="4" w:space="0" w:color="auto"/>
              <w:bottom w:val="nil"/>
              <w:right w:val="single" w:sz="4" w:space="0" w:color="auto"/>
            </w:tcBorders>
            <w:vAlign w:val="center"/>
          </w:tcPr>
          <w:p w14:paraId="0DFEF110" w14:textId="77777777" w:rsidR="00CE4BC9" w:rsidRPr="008B58EB" w:rsidRDefault="00CE4BC9" w:rsidP="00CE4BC9">
            <w:pPr>
              <w:rPr>
                <w:rFonts w:cs="Calibri"/>
                <w:bCs/>
                <w:sz w:val="20"/>
                <w:szCs w:val="20"/>
              </w:rPr>
            </w:pPr>
          </w:p>
        </w:tc>
        <w:tc>
          <w:tcPr>
            <w:tcW w:w="1068" w:type="dxa"/>
            <w:tcBorders>
              <w:top w:val="single" w:sz="4" w:space="0" w:color="auto"/>
              <w:left w:val="single" w:sz="4" w:space="0" w:color="auto"/>
              <w:bottom w:val="single" w:sz="4" w:space="0" w:color="auto"/>
              <w:right w:val="single" w:sz="4" w:space="0" w:color="auto"/>
            </w:tcBorders>
            <w:vAlign w:val="center"/>
          </w:tcPr>
          <w:p w14:paraId="0872BB59" w14:textId="77777777" w:rsidR="00CE4BC9" w:rsidRPr="008B58EB" w:rsidRDefault="005B1E4D" w:rsidP="00CE4BC9">
            <w:pPr>
              <w:rPr>
                <w:rFonts w:cs="Calibri"/>
                <w:bCs/>
                <w:sz w:val="20"/>
                <w:szCs w:val="20"/>
              </w:rPr>
            </w:pPr>
            <w:r>
              <w:rPr>
                <w:rFonts w:cs="Calibri"/>
                <w:bCs/>
                <w:sz w:val="20"/>
                <w:szCs w:val="20"/>
              </w:rPr>
              <w:t>8</w:t>
            </w:r>
          </w:p>
        </w:tc>
      </w:tr>
      <w:tr w:rsidR="00CE4BC9" w:rsidRPr="008B58EB" w14:paraId="38165406" w14:textId="77777777">
        <w:tc>
          <w:tcPr>
            <w:tcW w:w="9690" w:type="dxa"/>
            <w:gridSpan w:val="18"/>
          </w:tcPr>
          <w:p w14:paraId="2B1DFA41" w14:textId="77777777" w:rsidR="00CE4BC9" w:rsidRPr="008B58EB" w:rsidRDefault="00CE4BC9" w:rsidP="00CE4BC9">
            <w:pPr>
              <w:rPr>
                <w:rFonts w:cs="Calibri"/>
                <w:bCs/>
                <w:sz w:val="20"/>
                <w:szCs w:val="20"/>
              </w:rPr>
            </w:pPr>
          </w:p>
        </w:tc>
      </w:tr>
      <w:tr w:rsidR="00CE4BC9" w:rsidRPr="008B58EB" w14:paraId="1C5A50E1" w14:textId="77777777">
        <w:tc>
          <w:tcPr>
            <w:tcW w:w="3307" w:type="dxa"/>
            <w:gridSpan w:val="5"/>
          </w:tcPr>
          <w:p w14:paraId="4BA23DCD" w14:textId="77777777" w:rsidR="00CE4BC9" w:rsidRPr="008B58EB" w:rsidRDefault="00CE4BC9" w:rsidP="00CE4BC9">
            <w:pPr>
              <w:rPr>
                <w:rFonts w:cs="Calibri"/>
                <w:sz w:val="20"/>
                <w:szCs w:val="20"/>
              </w:rPr>
            </w:pPr>
            <w:r w:rsidRPr="008B58EB">
              <w:rPr>
                <w:rFonts w:cs="Calibri"/>
                <w:sz w:val="20"/>
                <w:szCs w:val="20"/>
              </w:rPr>
              <w:t xml:space="preserve">Nosilec predmeta / </w:t>
            </w:r>
            <w:r w:rsidRPr="00B60F70">
              <w:rPr>
                <w:rFonts w:cs="Calibri"/>
                <w:sz w:val="20"/>
                <w:szCs w:val="20"/>
                <w:lang w:val="en-GB"/>
              </w:rPr>
              <w:t>Lecturer:</w:t>
            </w:r>
          </w:p>
        </w:tc>
        <w:tc>
          <w:tcPr>
            <w:tcW w:w="6383" w:type="dxa"/>
            <w:gridSpan w:val="13"/>
            <w:tcBorders>
              <w:top w:val="single" w:sz="4" w:space="0" w:color="auto"/>
              <w:left w:val="single" w:sz="4" w:space="0" w:color="auto"/>
              <w:bottom w:val="single" w:sz="4" w:space="0" w:color="auto"/>
              <w:right w:val="single" w:sz="4" w:space="0" w:color="auto"/>
            </w:tcBorders>
          </w:tcPr>
          <w:p w14:paraId="2A29B039" w14:textId="1E27C5AF" w:rsidR="00CE4BC9" w:rsidRPr="008B58EB" w:rsidRDefault="003E761E" w:rsidP="00FD33CD">
            <w:pPr>
              <w:rPr>
                <w:rFonts w:cs="Calibri"/>
                <w:sz w:val="20"/>
                <w:szCs w:val="20"/>
              </w:rPr>
            </w:pPr>
            <w:bookmarkStart w:id="2" w:name="Predavatelj"/>
            <w:bookmarkEnd w:id="2"/>
            <w:r>
              <w:rPr>
                <w:sz w:val="20"/>
                <w:szCs w:val="20"/>
              </w:rPr>
              <w:t>Izr</w:t>
            </w:r>
            <w:r w:rsidR="00CE4BC9" w:rsidRPr="008B58EB">
              <w:rPr>
                <w:sz w:val="20"/>
                <w:szCs w:val="20"/>
              </w:rPr>
              <w:t>.</w:t>
            </w:r>
            <w:r>
              <w:rPr>
                <w:sz w:val="20"/>
                <w:szCs w:val="20"/>
              </w:rPr>
              <w:t xml:space="preserve"> prof.</w:t>
            </w:r>
            <w:bookmarkStart w:id="3" w:name="_GoBack"/>
            <w:bookmarkEnd w:id="3"/>
            <w:r w:rsidR="00CE4BC9" w:rsidRPr="008B58EB">
              <w:rPr>
                <w:sz w:val="20"/>
                <w:szCs w:val="20"/>
              </w:rPr>
              <w:t xml:space="preserve"> dr. </w:t>
            </w:r>
            <w:r w:rsidR="00CF1FB5">
              <w:rPr>
                <w:sz w:val="20"/>
                <w:szCs w:val="20"/>
              </w:rPr>
              <w:t>Bruna Žuber</w:t>
            </w:r>
          </w:p>
        </w:tc>
      </w:tr>
      <w:tr w:rsidR="00CE4BC9" w:rsidRPr="008B58EB" w14:paraId="7E260626" w14:textId="77777777">
        <w:tc>
          <w:tcPr>
            <w:tcW w:w="9690" w:type="dxa"/>
            <w:gridSpan w:val="18"/>
          </w:tcPr>
          <w:p w14:paraId="4FDD76DE" w14:textId="77777777" w:rsidR="00CE4BC9" w:rsidRPr="008B58EB" w:rsidRDefault="00CE4BC9" w:rsidP="00CE4BC9">
            <w:pPr>
              <w:rPr>
                <w:rFonts w:cs="Calibri"/>
                <w:sz w:val="20"/>
                <w:szCs w:val="20"/>
              </w:rPr>
            </w:pPr>
          </w:p>
        </w:tc>
      </w:tr>
      <w:tr w:rsidR="00CE4BC9" w:rsidRPr="008B58EB" w14:paraId="64BC87DC" w14:textId="77777777">
        <w:tc>
          <w:tcPr>
            <w:tcW w:w="1641" w:type="dxa"/>
            <w:gridSpan w:val="2"/>
            <w:vMerge w:val="restart"/>
          </w:tcPr>
          <w:p w14:paraId="13C6E867" w14:textId="77777777" w:rsidR="00CE4BC9" w:rsidRPr="008B58EB" w:rsidRDefault="00CE4BC9" w:rsidP="00CE4BC9">
            <w:pPr>
              <w:rPr>
                <w:rFonts w:cs="Calibri"/>
                <w:sz w:val="20"/>
                <w:szCs w:val="20"/>
              </w:rPr>
            </w:pPr>
            <w:r w:rsidRPr="008B58EB">
              <w:rPr>
                <w:rFonts w:cs="Calibri"/>
                <w:sz w:val="20"/>
                <w:szCs w:val="20"/>
              </w:rPr>
              <w:t xml:space="preserve">Jeziki / </w:t>
            </w:r>
          </w:p>
          <w:p w14:paraId="50CE6FFD" w14:textId="77777777" w:rsidR="00CE4BC9" w:rsidRPr="00B60F70" w:rsidRDefault="00CE4BC9" w:rsidP="00CE4BC9">
            <w:pPr>
              <w:rPr>
                <w:rFonts w:cs="Calibri"/>
                <w:sz w:val="20"/>
                <w:szCs w:val="20"/>
                <w:lang w:val="en-GB"/>
              </w:rPr>
            </w:pPr>
            <w:r w:rsidRPr="00B60F70">
              <w:rPr>
                <w:rFonts w:cs="Calibri"/>
                <w:sz w:val="20"/>
                <w:szCs w:val="20"/>
                <w:lang w:val="en-GB"/>
              </w:rPr>
              <w:t>Languages:</w:t>
            </w:r>
          </w:p>
        </w:tc>
        <w:tc>
          <w:tcPr>
            <w:tcW w:w="2241" w:type="dxa"/>
            <w:gridSpan w:val="4"/>
          </w:tcPr>
          <w:p w14:paraId="1AAB1C12" w14:textId="77777777" w:rsidR="00CE4BC9" w:rsidRPr="008B58EB" w:rsidRDefault="00CE4BC9" w:rsidP="00CE4BC9">
            <w:pPr>
              <w:rPr>
                <w:rFonts w:cs="Calibri"/>
                <w:sz w:val="20"/>
                <w:szCs w:val="20"/>
              </w:rPr>
            </w:pPr>
            <w:r w:rsidRPr="008B58EB">
              <w:rPr>
                <w:rFonts w:cs="Calibri"/>
                <w:sz w:val="20"/>
                <w:szCs w:val="20"/>
              </w:rPr>
              <w:t xml:space="preserve">Predavanja / </w:t>
            </w:r>
            <w:r w:rsidRPr="00B60F70">
              <w:rPr>
                <w:rFonts w:cs="Calibri"/>
                <w:sz w:val="20"/>
                <w:szCs w:val="20"/>
                <w:lang w:val="en-GB"/>
              </w:rPr>
              <w:t>Lectures:</w:t>
            </w:r>
          </w:p>
        </w:tc>
        <w:tc>
          <w:tcPr>
            <w:tcW w:w="5808" w:type="dxa"/>
            <w:gridSpan w:val="12"/>
            <w:tcBorders>
              <w:top w:val="single" w:sz="4" w:space="0" w:color="auto"/>
              <w:left w:val="single" w:sz="4" w:space="0" w:color="auto"/>
              <w:bottom w:val="single" w:sz="4" w:space="0" w:color="auto"/>
              <w:right w:val="single" w:sz="4" w:space="0" w:color="auto"/>
            </w:tcBorders>
          </w:tcPr>
          <w:p w14:paraId="3160AC3E" w14:textId="77777777" w:rsidR="00CE4BC9" w:rsidRPr="008B58EB" w:rsidRDefault="00CE4BC9" w:rsidP="00CE4BC9">
            <w:pPr>
              <w:rPr>
                <w:rFonts w:cs="Calibri"/>
                <w:bCs/>
                <w:sz w:val="20"/>
                <w:szCs w:val="20"/>
              </w:rPr>
            </w:pPr>
            <w:bookmarkStart w:id="4" w:name="Jezik"/>
            <w:bookmarkEnd w:id="4"/>
            <w:r w:rsidRPr="008B58EB">
              <w:rPr>
                <w:b/>
                <w:sz w:val="20"/>
                <w:szCs w:val="20"/>
              </w:rPr>
              <w:t>Slovenski</w:t>
            </w:r>
            <w:r w:rsidR="00FF41FE">
              <w:rPr>
                <w:b/>
                <w:sz w:val="20"/>
                <w:szCs w:val="20"/>
              </w:rPr>
              <w:t xml:space="preserve"> / </w:t>
            </w:r>
            <w:r w:rsidR="00FF41FE" w:rsidRPr="00B60F70">
              <w:rPr>
                <w:b/>
                <w:sz w:val="20"/>
                <w:szCs w:val="20"/>
                <w:lang w:val="en-GB"/>
              </w:rPr>
              <w:t>Slovenian</w:t>
            </w:r>
          </w:p>
        </w:tc>
      </w:tr>
      <w:tr w:rsidR="00CE4BC9" w:rsidRPr="008B58EB" w14:paraId="3D858BF6" w14:textId="77777777">
        <w:trPr>
          <w:trHeight w:val="215"/>
        </w:trPr>
        <w:tc>
          <w:tcPr>
            <w:tcW w:w="1641" w:type="dxa"/>
            <w:gridSpan w:val="2"/>
            <w:vMerge/>
            <w:vAlign w:val="center"/>
          </w:tcPr>
          <w:p w14:paraId="2FB4EBBF" w14:textId="77777777" w:rsidR="00CE4BC9" w:rsidRPr="008B58EB" w:rsidRDefault="00CE4BC9" w:rsidP="00CE4BC9">
            <w:pPr>
              <w:rPr>
                <w:rFonts w:cs="Calibri"/>
                <w:bCs/>
                <w:sz w:val="20"/>
                <w:szCs w:val="20"/>
              </w:rPr>
            </w:pPr>
          </w:p>
        </w:tc>
        <w:tc>
          <w:tcPr>
            <w:tcW w:w="2241" w:type="dxa"/>
            <w:gridSpan w:val="4"/>
          </w:tcPr>
          <w:p w14:paraId="4AC4DCA5" w14:textId="77777777" w:rsidR="00CE4BC9" w:rsidRPr="008B58EB" w:rsidRDefault="00CE4BC9" w:rsidP="00CE4BC9">
            <w:pPr>
              <w:rPr>
                <w:rFonts w:cs="Calibri"/>
                <w:sz w:val="20"/>
                <w:szCs w:val="20"/>
              </w:rPr>
            </w:pPr>
            <w:r w:rsidRPr="008B58EB">
              <w:rPr>
                <w:rFonts w:cs="Calibri"/>
                <w:sz w:val="20"/>
                <w:szCs w:val="20"/>
              </w:rPr>
              <w:t xml:space="preserve">Vaje / </w:t>
            </w:r>
            <w:r w:rsidRPr="00B60F70">
              <w:rPr>
                <w:rFonts w:cs="Calibri"/>
                <w:sz w:val="20"/>
                <w:szCs w:val="20"/>
                <w:lang w:val="en-GB"/>
              </w:rPr>
              <w:t>Tutorial:</w:t>
            </w:r>
          </w:p>
        </w:tc>
        <w:tc>
          <w:tcPr>
            <w:tcW w:w="5808" w:type="dxa"/>
            <w:gridSpan w:val="12"/>
            <w:tcBorders>
              <w:top w:val="single" w:sz="4" w:space="0" w:color="auto"/>
              <w:left w:val="single" w:sz="4" w:space="0" w:color="auto"/>
              <w:bottom w:val="single" w:sz="4" w:space="0" w:color="auto"/>
              <w:right w:val="single" w:sz="4" w:space="0" w:color="auto"/>
            </w:tcBorders>
          </w:tcPr>
          <w:p w14:paraId="7D51931C" w14:textId="77777777" w:rsidR="00CE4BC9" w:rsidRPr="008B58EB" w:rsidRDefault="00CE4BC9" w:rsidP="00CE4BC9">
            <w:pPr>
              <w:rPr>
                <w:rFonts w:cs="Calibri"/>
                <w:bCs/>
                <w:sz w:val="20"/>
                <w:szCs w:val="20"/>
              </w:rPr>
            </w:pPr>
            <w:bookmarkStart w:id="5" w:name="JezikV"/>
            <w:bookmarkEnd w:id="5"/>
          </w:p>
        </w:tc>
      </w:tr>
      <w:tr w:rsidR="00CE4BC9" w:rsidRPr="008B58EB" w14:paraId="3790C953" w14:textId="77777777">
        <w:tc>
          <w:tcPr>
            <w:tcW w:w="4728" w:type="dxa"/>
            <w:gridSpan w:val="9"/>
            <w:tcBorders>
              <w:top w:val="nil"/>
              <w:left w:val="nil"/>
              <w:bottom w:val="single" w:sz="4" w:space="0" w:color="auto"/>
              <w:right w:val="nil"/>
            </w:tcBorders>
          </w:tcPr>
          <w:p w14:paraId="475740B2" w14:textId="77777777" w:rsidR="00CE4BC9" w:rsidRPr="008B58EB" w:rsidRDefault="00CE4BC9" w:rsidP="00CE4BC9">
            <w:pPr>
              <w:rPr>
                <w:rFonts w:cs="Calibri"/>
                <w:bCs/>
                <w:sz w:val="20"/>
                <w:szCs w:val="20"/>
              </w:rPr>
            </w:pPr>
          </w:p>
          <w:p w14:paraId="7959CED1" w14:textId="77777777" w:rsidR="00CE4BC9" w:rsidRPr="008B58EB" w:rsidRDefault="00CE4BC9" w:rsidP="00CE4BC9">
            <w:pPr>
              <w:rPr>
                <w:rFonts w:cs="Calibri"/>
                <w:sz w:val="20"/>
                <w:szCs w:val="20"/>
              </w:rPr>
            </w:pPr>
            <w:r w:rsidRPr="008B58EB">
              <w:rPr>
                <w:rFonts w:cs="Calibri"/>
                <w:sz w:val="20"/>
                <w:szCs w:val="20"/>
              </w:rPr>
              <w:t>Pogoji za vključitev v delo oz. za opravljanje študijskih obveznosti:</w:t>
            </w:r>
          </w:p>
        </w:tc>
        <w:tc>
          <w:tcPr>
            <w:tcW w:w="142" w:type="dxa"/>
          </w:tcPr>
          <w:p w14:paraId="0560262F" w14:textId="77777777" w:rsidR="00CE4BC9" w:rsidRPr="008B58EB" w:rsidRDefault="00CE4BC9" w:rsidP="00CE4BC9">
            <w:pPr>
              <w:rPr>
                <w:rFonts w:cs="Calibri"/>
                <w:sz w:val="20"/>
                <w:szCs w:val="20"/>
              </w:rPr>
            </w:pPr>
          </w:p>
          <w:p w14:paraId="54A58F19" w14:textId="77777777" w:rsidR="00CE4BC9" w:rsidRPr="008B58EB" w:rsidRDefault="00CE4BC9" w:rsidP="00CE4BC9">
            <w:pPr>
              <w:rPr>
                <w:rFonts w:cs="Calibri"/>
                <w:sz w:val="20"/>
                <w:szCs w:val="20"/>
              </w:rPr>
            </w:pPr>
          </w:p>
        </w:tc>
        <w:tc>
          <w:tcPr>
            <w:tcW w:w="4820" w:type="dxa"/>
            <w:gridSpan w:val="8"/>
            <w:tcBorders>
              <w:top w:val="nil"/>
              <w:left w:val="nil"/>
              <w:bottom w:val="single" w:sz="4" w:space="0" w:color="auto"/>
              <w:right w:val="nil"/>
            </w:tcBorders>
          </w:tcPr>
          <w:p w14:paraId="6E6F8A7F" w14:textId="77777777" w:rsidR="00CE4BC9" w:rsidRPr="008B58EB" w:rsidRDefault="00CE4BC9" w:rsidP="00CE4BC9">
            <w:pPr>
              <w:rPr>
                <w:rFonts w:cs="Calibri"/>
                <w:sz w:val="20"/>
                <w:szCs w:val="20"/>
              </w:rPr>
            </w:pPr>
          </w:p>
          <w:p w14:paraId="482110DD" w14:textId="77777777" w:rsidR="00CE4BC9" w:rsidRPr="00B60F70" w:rsidRDefault="00CE4BC9" w:rsidP="00CE4BC9">
            <w:pPr>
              <w:rPr>
                <w:rFonts w:cs="Calibri"/>
                <w:sz w:val="20"/>
                <w:szCs w:val="20"/>
                <w:lang w:val="en-GB"/>
              </w:rPr>
            </w:pPr>
            <w:r w:rsidRPr="00B60F70">
              <w:rPr>
                <w:rFonts w:cs="Calibri"/>
                <w:sz w:val="20"/>
                <w:szCs w:val="20"/>
                <w:lang w:val="en-GB"/>
              </w:rPr>
              <w:t>Prerequisits:</w:t>
            </w:r>
          </w:p>
        </w:tc>
      </w:tr>
      <w:tr w:rsidR="00CF1FB5" w:rsidRPr="008B58EB" w14:paraId="3C1A06BA" w14:textId="77777777">
        <w:trPr>
          <w:trHeight w:val="2665"/>
        </w:trPr>
        <w:tc>
          <w:tcPr>
            <w:tcW w:w="4728" w:type="dxa"/>
            <w:gridSpan w:val="9"/>
            <w:tcBorders>
              <w:top w:val="single" w:sz="4" w:space="0" w:color="auto"/>
              <w:left w:val="single" w:sz="4" w:space="0" w:color="auto"/>
              <w:bottom w:val="single" w:sz="4" w:space="0" w:color="auto"/>
              <w:right w:val="single" w:sz="4" w:space="0" w:color="auto"/>
            </w:tcBorders>
          </w:tcPr>
          <w:p w14:paraId="4888433A" w14:textId="2421B5C3" w:rsidR="00CF1FB5" w:rsidRPr="008B58EB" w:rsidRDefault="00CF1FB5" w:rsidP="00CF1FB5">
            <w:pPr>
              <w:rPr>
                <w:rFonts w:cs="Calibri"/>
                <w:sz w:val="20"/>
                <w:szCs w:val="20"/>
              </w:rPr>
            </w:pPr>
            <w:r w:rsidRPr="007B2300">
              <w:rPr>
                <w:sz w:val="20"/>
                <w:szCs w:val="20"/>
              </w:rPr>
              <w:t>Za vključitev v predmet mora imeti študent dokončan prvi do šesti semester študija oziroma ustrezna znanja s področja ustavnega prava ter pravnih procesnih predmetov s področja civilnega procesnega prava.</w:t>
            </w:r>
          </w:p>
        </w:tc>
        <w:tc>
          <w:tcPr>
            <w:tcW w:w="142" w:type="dxa"/>
            <w:tcBorders>
              <w:top w:val="nil"/>
              <w:left w:val="single" w:sz="4" w:space="0" w:color="auto"/>
              <w:bottom w:val="nil"/>
              <w:right w:val="single" w:sz="4" w:space="0" w:color="auto"/>
            </w:tcBorders>
          </w:tcPr>
          <w:p w14:paraId="2E87EC40" w14:textId="77777777" w:rsidR="00CF1FB5" w:rsidRPr="008B58EB" w:rsidRDefault="00CF1FB5" w:rsidP="00CF1FB5">
            <w:pPr>
              <w:rPr>
                <w:rFonts w:cs="Calibri"/>
                <w:sz w:val="20"/>
                <w:szCs w:val="20"/>
              </w:rPr>
            </w:pPr>
          </w:p>
        </w:tc>
        <w:tc>
          <w:tcPr>
            <w:tcW w:w="4820" w:type="dxa"/>
            <w:gridSpan w:val="8"/>
            <w:tcBorders>
              <w:top w:val="single" w:sz="4" w:space="0" w:color="auto"/>
              <w:left w:val="single" w:sz="4" w:space="0" w:color="auto"/>
              <w:bottom w:val="single" w:sz="4" w:space="0" w:color="auto"/>
              <w:right w:val="single" w:sz="4" w:space="0" w:color="auto"/>
            </w:tcBorders>
          </w:tcPr>
          <w:p w14:paraId="2F7F2779" w14:textId="0012DAE8" w:rsidR="00CF1FB5" w:rsidRPr="008B58EB" w:rsidRDefault="00CF1FB5" w:rsidP="00CF1FB5">
            <w:pPr>
              <w:rPr>
                <w:rFonts w:cs="Calibri"/>
                <w:sz w:val="20"/>
                <w:szCs w:val="20"/>
              </w:rPr>
            </w:pPr>
            <w:r>
              <w:rPr>
                <w:rFonts w:cs="Calibri"/>
                <w:sz w:val="20"/>
                <w:szCs w:val="20"/>
              </w:rPr>
              <w:t>S</w:t>
            </w:r>
            <w:r w:rsidRPr="009B366F">
              <w:rPr>
                <w:rFonts w:cs="Calibri"/>
                <w:sz w:val="20"/>
                <w:szCs w:val="20"/>
              </w:rPr>
              <w:t>tudents have to complete six semester</w:t>
            </w:r>
            <w:r>
              <w:rPr>
                <w:rFonts w:cs="Calibri"/>
                <w:sz w:val="20"/>
                <w:szCs w:val="20"/>
              </w:rPr>
              <w:t>s</w:t>
            </w:r>
            <w:r w:rsidRPr="009B366F">
              <w:rPr>
                <w:rFonts w:cs="Calibri"/>
                <w:sz w:val="20"/>
                <w:szCs w:val="20"/>
              </w:rPr>
              <w:t xml:space="preserve"> of their </w:t>
            </w:r>
            <w:r>
              <w:rPr>
                <w:rFonts w:cs="Calibri"/>
                <w:sz w:val="20"/>
                <w:szCs w:val="20"/>
              </w:rPr>
              <w:t xml:space="preserve">law </w:t>
            </w:r>
            <w:r w:rsidRPr="009B366F">
              <w:rPr>
                <w:rFonts w:cs="Calibri"/>
                <w:sz w:val="20"/>
                <w:szCs w:val="20"/>
              </w:rPr>
              <w:t xml:space="preserve">studies or obtain adequate knowledge in the field of constitutional law and procedural subjects in the field of </w:t>
            </w:r>
            <w:r>
              <w:rPr>
                <w:rFonts w:cs="Calibri"/>
                <w:sz w:val="20"/>
                <w:szCs w:val="20"/>
              </w:rPr>
              <w:t>civil</w:t>
            </w:r>
            <w:r w:rsidRPr="009B366F">
              <w:rPr>
                <w:rFonts w:cs="Calibri"/>
                <w:sz w:val="20"/>
                <w:szCs w:val="20"/>
              </w:rPr>
              <w:t xml:space="preserve"> procedure law.</w:t>
            </w:r>
            <w:r>
              <w:rPr>
                <w:rFonts w:cs="Calibri"/>
                <w:sz w:val="20"/>
                <w:szCs w:val="20"/>
              </w:rPr>
              <w:t xml:space="preserve"> </w:t>
            </w:r>
          </w:p>
        </w:tc>
      </w:tr>
      <w:tr w:rsidR="00CF1FB5" w:rsidRPr="008B58EB" w14:paraId="3B342FEF" w14:textId="77777777">
        <w:trPr>
          <w:trHeight w:val="137"/>
        </w:trPr>
        <w:tc>
          <w:tcPr>
            <w:tcW w:w="4718" w:type="dxa"/>
            <w:gridSpan w:val="8"/>
            <w:tcBorders>
              <w:top w:val="nil"/>
              <w:left w:val="nil"/>
              <w:bottom w:val="single" w:sz="4" w:space="0" w:color="auto"/>
              <w:right w:val="nil"/>
            </w:tcBorders>
          </w:tcPr>
          <w:p w14:paraId="4D80E922" w14:textId="77777777" w:rsidR="00CF1FB5" w:rsidRPr="008B58EB" w:rsidRDefault="00CF1FB5" w:rsidP="00CF1FB5">
            <w:pPr>
              <w:rPr>
                <w:rFonts w:cs="Calibri"/>
                <w:sz w:val="20"/>
                <w:szCs w:val="20"/>
              </w:rPr>
            </w:pPr>
          </w:p>
          <w:p w14:paraId="657C95D7" w14:textId="77777777" w:rsidR="00CF1FB5" w:rsidRPr="008B58EB" w:rsidRDefault="00CF1FB5" w:rsidP="00CF1FB5">
            <w:pPr>
              <w:rPr>
                <w:rFonts w:cs="Calibri"/>
                <w:sz w:val="20"/>
                <w:szCs w:val="20"/>
              </w:rPr>
            </w:pPr>
            <w:r w:rsidRPr="008B58EB">
              <w:rPr>
                <w:rFonts w:cs="Calibri"/>
                <w:sz w:val="20"/>
                <w:szCs w:val="20"/>
              </w:rPr>
              <w:t xml:space="preserve">Vsebina: </w:t>
            </w:r>
          </w:p>
        </w:tc>
        <w:tc>
          <w:tcPr>
            <w:tcW w:w="152" w:type="dxa"/>
            <w:gridSpan w:val="2"/>
          </w:tcPr>
          <w:p w14:paraId="778D46CC" w14:textId="77777777" w:rsidR="00CF1FB5" w:rsidRPr="008B58EB" w:rsidRDefault="00CF1FB5" w:rsidP="00CF1FB5">
            <w:pPr>
              <w:rPr>
                <w:rFonts w:cs="Calibri"/>
                <w:sz w:val="20"/>
                <w:szCs w:val="20"/>
              </w:rPr>
            </w:pPr>
          </w:p>
        </w:tc>
        <w:tc>
          <w:tcPr>
            <w:tcW w:w="4820" w:type="dxa"/>
            <w:gridSpan w:val="8"/>
            <w:tcBorders>
              <w:top w:val="nil"/>
              <w:left w:val="nil"/>
              <w:bottom w:val="single" w:sz="4" w:space="0" w:color="auto"/>
              <w:right w:val="nil"/>
            </w:tcBorders>
          </w:tcPr>
          <w:p w14:paraId="01E1FD52" w14:textId="77777777" w:rsidR="00CF1FB5" w:rsidRPr="008B58EB" w:rsidRDefault="00CF1FB5" w:rsidP="00CF1FB5">
            <w:pPr>
              <w:rPr>
                <w:rFonts w:cs="Calibri"/>
                <w:sz w:val="20"/>
                <w:szCs w:val="20"/>
              </w:rPr>
            </w:pPr>
          </w:p>
          <w:p w14:paraId="55BFD3FB" w14:textId="77777777" w:rsidR="00CF1FB5" w:rsidRPr="00B60F70" w:rsidRDefault="00CF1FB5" w:rsidP="00CF1FB5">
            <w:pPr>
              <w:rPr>
                <w:rFonts w:cs="Calibri"/>
                <w:sz w:val="20"/>
                <w:szCs w:val="20"/>
                <w:lang w:val="en-GB"/>
              </w:rPr>
            </w:pPr>
            <w:r w:rsidRPr="00B60F70">
              <w:rPr>
                <w:rFonts w:cs="Calibri"/>
                <w:sz w:val="20"/>
                <w:szCs w:val="20"/>
                <w:lang w:val="en-GB"/>
              </w:rPr>
              <w:t>Content (Syllabusoutline):</w:t>
            </w:r>
          </w:p>
        </w:tc>
      </w:tr>
      <w:tr w:rsidR="00CF1FB5" w:rsidRPr="008B58EB" w14:paraId="2FA4778C" w14:textId="77777777">
        <w:trPr>
          <w:trHeight w:val="2665"/>
        </w:trPr>
        <w:tc>
          <w:tcPr>
            <w:tcW w:w="4718" w:type="dxa"/>
            <w:gridSpan w:val="8"/>
            <w:tcBorders>
              <w:top w:val="single" w:sz="4" w:space="0" w:color="auto"/>
              <w:left w:val="single" w:sz="4" w:space="0" w:color="auto"/>
              <w:bottom w:val="single" w:sz="4" w:space="0" w:color="auto"/>
              <w:right w:val="single" w:sz="4" w:space="0" w:color="auto"/>
            </w:tcBorders>
          </w:tcPr>
          <w:p w14:paraId="5C1FB5F2" w14:textId="77777777" w:rsidR="00CF1FB5" w:rsidRPr="00955EF7" w:rsidRDefault="00CF1FB5" w:rsidP="00CF1FB5">
            <w:pPr>
              <w:numPr>
                <w:ilvl w:val="0"/>
                <w:numId w:val="2"/>
              </w:numPr>
              <w:jc w:val="both"/>
              <w:rPr>
                <w:rFonts w:cs="Tahoma"/>
                <w:bCs/>
                <w:caps/>
                <w:sz w:val="20"/>
                <w:szCs w:val="20"/>
              </w:rPr>
            </w:pPr>
            <w:r w:rsidRPr="00955EF7">
              <w:rPr>
                <w:rFonts w:cs="Tahoma"/>
                <w:bCs/>
                <w:caps/>
                <w:sz w:val="20"/>
                <w:szCs w:val="20"/>
              </w:rPr>
              <w:t>Uvod v upravno procesno pravo</w:t>
            </w:r>
          </w:p>
          <w:p w14:paraId="4793E1C0"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Upravno procesno pravo in upravno materialno pravo</w:t>
            </w:r>
          </w:p>
          <w:p w14:paraId="0F485E9E"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Pomen javnopravnega procesnega varstva: odločanje o javnih pravicah in obveznostih ter javnopravnih interesih pravnih in fizičnih oseb v zakonitem postopku</w:t>
            </w:r>
          </w:p>
          <w:p w14:paraId="66627B09"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Pojem upravnega postopka ter upravnega spora ter pravni viri</w:t>
            </w:r>
          </w:p>
          <w:p w14:paraId="6B16E57A"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Razmerje do drugih postopkov</w:t>
            </w:r>
          </w:p>
          <w:p w14:paraId="686E7806"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Namen pravne ureditve upravnega postopka ter upravnega spora</w:t>
            </w:r>
          </w:p>
          <w:p w14:paraId="70FF5E03"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Pravni viri upravnega postopka ter upravnega spora</w:t>
            </w:r>
          </w:p>
          <w:p w14:paraId="0FC67F25" w14:textId="77777777" w:rsidR="00CF1FB5" w:rsidRPr="00955EF7" w:rsidRDefault="00CF1FB5" w:rsidP="00CF1FB5">
            <w:pPr>
              <w:pStyle w:val="tockalevo2"/>
              <w:numPr>
                <w:ilvl w:val="0"/>
                <w:numId w:val="2"/>
              </w:numPr>
              <w:jc w:val="both"/>
              <w:rPr>
                <w:rFonts w:ascii="Calibri" w:hAnsi="Calibri" w:cs="Tahoma"/>
                <w:caps/>
                <w:sz w:val="20"/>
              </w:rPr>
            </w:pPr>
            <w:r w:rsidRPr="00955EF7">
              <w:rPr>
                <w:rFonts w:ascii="Calibri" w:hAnsi="Calibri" w:cs="Tahoma"/>
                <w:caps/>
                <w:sz w:val="20"/>
              </w:rPr>
              <w:t>Temeljne značilnosti upravnega procesnega prava</w:t>
            </w:r>
          </w:p>
          <w:p w14:paraId="4D087134"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lastRenderedPageBreak/>
              <w:t>Varstvo javnega interesa in varstvo pravic strank v upravnem postopku in upravnem sporu</w:t>
            </w:r>
          </w:p>
          <w:p w14:paraId="57EBABA9"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Temeljne procesne garancije upravnega procesnega prava; posameznik kot subjekt in ne objekt v postopku odločanja</w:t>
            </w:r>
          </w:p>
          <w:p w14:paraId="07254F16"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Vrste in značilnosti aktov, ki so izdani v upravnem postopku in upravnem sporu: upravni akti, upravne odločbe, upravne pogodbe, sodbe sodišč, procesni sklepi</w:t>
            </w:r>
          </w:p>
          <w:p w14:paraId="3D57A68E"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Obveznost odločanja v upravnem postopku; subsidiarna in smiselna uporaba upravnega postopka</w:t>
            </w:r>
          </w:p>
          <w:p w14:paraId="669D6BD4"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Obseg in pomen sodnega nadzora nad odločanjem uprave</w:t>
            </w:r>
          </w:p>
          <w:p w14:paraId="403E807A" w14:textId="77777777" w:rsidR="00CF1FB5" w:rsidRPr="00955EF7" w:rsidRDefault="00CF1FB5" w:rsidP="00CF1FB5">
            <w:pPr>
              <w:numPr>
                <w:ilvl w:val="0"/>
                <w:numId w:val="2"/>
              </w:numPr>
              <w:jc w:val="both"/>
              <w:rPr>
                <w:rFonts w:cs="Tahoma"/>
                <w:bCs/>
                <w:sz w:val="20"/>
                <w:szCs w:val="20"/>
              </w:rPr>
            </w:pPr>
            <w:r w:rsidRPr="00955EF7">
              <w:rPr>
                <w:rFonts w:cs="Tahoma"/>
                <w:bCs/>
                <w:sz w:val="20"/>
                <w:szCs w:val="20"/>
              </w:rPr>
              <w:t>UPRAVNI POSTOPEK</w:t>
            </w:r>
          </w:p>
          <w:p w14:paraId="38D3A7B4"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Temeljna načela</w:t>
            </w:r>
          </w:p>
          <w:p w14:paraId="2AD586FF"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Pristojnosti za odločanje v upravnem postopku</w:t>
            </w:r>
          </w:p>
          <w:p w14:paraId="5CA8BFF9"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Stranka in njeno zastopanje v upravnem postopku</w:t>
            </w:r>
          </w:p>
          <w:p w14:paraId="50D99D68"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Komuniciranje med organi in strankami</w:t>
            </w:r>
          </w:p>
          <w:p w14:paraId="4778727A"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Vročanje v upravnem postopku</w:t>
            </w:r>
          </w:p>
          <w:p w14:paraId="72CC8809" w14:textId="77777777" w:rsidR="00CF1FB5" w:rsidRPr="00955EF7" w:rsidRDefault="00CF1FB5" w:rsidP="00CF1FB5">
            <w:pPr>
              <w:numPr>
                <w:ilvl w:val="1"/>
                <w:numId w:val="2"/>
              </w:numPr>
              <w:jc w:val="both"/>
              <w:rPr>
                <w:rFonts w:cs="Tahoma"/>
                <w:sz w:val="20"/>
                <w:szCs w:val="20"/>
              </w:rPr>
            </w:pPr>
            <w:r w:rsidRPr="00955EF7">
              <w:rPr>
                <w:rFonts w:cs="Tahoma"/>
                <w:bCs/>
                <w:sz w:val="20"/>
                <w:szCs w:val="20"/>
              </w:rPr>
              <w:t>Roki in naroki v upravnem postopku in vrnitev v prejšnje stanje</w:t>
            </w:r>
          </w:p>
          <w:p w14:paraId="2B8BB9AE"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Vzdrževanje reda v upravnem postopku</w:t>
            </w:r>
          </w:p>
          <w:p w14:paraId="2A5F1E28"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Stroški upravnega postopka</w:t>
            </w:r>
          </w:p>
          <w:p w14:paraId="1E14A51F" w14:textId="77777777" w:rsidR="00CF1FB5" w:rsidRPr="00955EF7" w:rsidRDefault="00CF1FB5" w:rsidP="00CF1FB5">
            <w:pPr>
              <w:numPr>
                <w:ilvl w:val="0"/>
                <w:numId w:val="2"/>
              </w:numPr>
              <w:jc w:val="both"/>
              <w:rPr>
                <w:rFonts w:cs="Tahoma"/>
                <w:sz w:val="20"/>
                <w:szCs w:val="20"/>
              </w:rPr>
            </w:pPr>
            <w:r w:rsidRPr="00955EF7">
              <w:rPr>
                <w:rFonts w:cs="Tahoma"/>
                <w:bCs/>
                <w:sz w:val="20"/>
                <w:szCs w:val="20"/>
              </w:rPr>
              <w:t>POSTOPEK NA PRVI STOPNJI</w:t>
            </w:r>
          </w:p>
          <w:p w14:paraId="190F5FC5"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Začetek upravnega postopka in zahtevki strank</w:t>
            </w:r>
          </w:p>
          <w:p w14:paraId="7DD9C34F"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Postopek do izdaje odločbe</w:t>
            </w:r>
          </w:p>
          <w:p w14:paraId="26269720"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Dokazovanje</w:t>
            </w:r>
          </w:p>
          <w:p w14:paraId="31806FFB"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Potrdila</w:t>
            </w:r>
          </w:p>
          <w:p w14:paraId="2754C35B"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Upravna odločba</w:t>
            </w:r>
          </w:p>
          <w:p w14:paraId="79D7455C" w14:textId="77777777" w:rsidR="00CF1FB5" w:rsidRPr="00955EF7" w:rsidRDefault="00CF1FB5" w:rsidP="00CF1FB5">
            <w:pPr>
              <w:numPr>
                <w:ilvl w:val="0"/>
                <w:numId w:val="2"/>
              </w:numPr>
              <w:jc w:val="both"/>
              <w:rPr>
                <w:rFonts w:cs="Tahoma"/>
                <w:bCs/>
                <w:sz w:val="20"/>
                <w:szCs w:val="20"/>
              </w:rPr>
            </w:pPr>
            <w:r w:rsidRPr="00955EF7">
              <w:rPr>
                <w:rFonts w:cs="Tahoma"/>
                <w:bCs/>
                <w:sz w:val="20"/>
                <w:szCs w:val="20"/>
              </w:rPr>
              <w:t>PRAVNA SREDSTVA</w:t>
            </w:r>
          </w:p>
          <w:p w14:paraId="528CC951"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Redna in izredna pravna sredstva</w:t>
            </w:r>
          </w:p>
          <w:p w14:paraId="7E13FBAB" w14:textId="77777777" w:rsidR="00CF1FB5" w:rsidRPr="00955EF7" w:rsidRDefault="00CF1FB5" w:rsidP="00CF1FB5">
            <w:pPr>
              <w:pStyle w:val="tockalevo2"/>
              <w:numPr>
                <w:ilvl w:val="1"/>
                <w:numId w:val="2"/>
              </w:numPr>
              <w:jc w:val="both"/>
              <w:rPr>
                <w:rFonts w:ascii="Calibri" w:hAnsi="Calibri" w:cs="Tahoma"/>
                <w:sz w:val="20"/>
              </w:rPr>
            </w:pPr>
            <w:r w:rsidRPr="00955EF7">
              <w:rPr>
                <w:rFonts w:ascii="Calibri" w:hAnsi="Calibri" w:cs="Tahoma"/>
                <w:sz w:val="20"/>
              </w:rPr>
              <w:t>Pravni učinek pravnega sredstva na izdani upravni akt</w:t>
            </w:r>
          </w:p>
          <w:p w14:paraId="5FAAC7C1"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Pritožba</w:t>
            </w:r>
          </w:p>
          <w:p w14:paraId="35BE2209"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Izredna pravna sredstva</w:t>
            </w:r>
          </w:p>
          <w:p w14:paraId="5A2C94D3" w14:textId="77777777" w:rsidR="00CF1FB5" w:rsidRPr="00955EF7" w:rsidRDefault="00CF1FB5" w:rsidP="00CF1FB5">
            <w:pPr>
              <w:numPr>
                <w:ilvl w:val="0"/>
                <w:numId w:val="2"/>
              </w:numPr>
              <w:jc w:val="both"/>
              <w:rPr>
                <w:rFonts w:cs="Tahoma"/>
                <w:bCs/>
                <w:sz w:val="20"/>
                <w:szCs w:val="20"/>
              </w:rPr>
            </w:pPr>
            <w:r w:rsidRPr="00955EF7">
              <w:rPr>
                <w:rFonts w:cs="Tahoma"/>
                <w:bCs/>
                <w:sz w:val="20"/>
                <w:szCs w:val="20"/>
              </w:rPr>
              <w:t>IZVRŠBA</w:t>
            </w:r>
          </w:p>
          <w:p w14:paraId="7B564F85" w14:textId="77777777" w:rsidR="00CF1FB5" w:rsidRPr="00955EF7" w:rsidRDefault="00CF1FB5" w:rsidP="00CF1FB5">
            <w:pPr>
              <w:pStyle w:val="naslov3"/>
              <w:widowControl/>
              <w:numPr>
                <w:ilvl w:val="0"/>
                <w:numId w:val="2"/>
              </w:numPr>
              <w:autoSpaceDE/>
              <w:autoSpaceDN/>
              <w:adjustRightInd/>
              <w:spacing w:before="0" w:after="0" w:line="240" w:lineRule="auto"/>
              <w:rPr>
                <w:rFonts w:ascii="Calibri" w:hAnsi="Calibri" w:cs="Tahoma"/>
                <w:b w:val="0"/>
                <w:sz w:val="20"/>
              </w:rPr>
            </w:pPr>
            <w:r w:rsidRPr="00955EF7">
              <w:rPr>
                <w:rFonts w:ascii="Calibri" w:hAnsi="Calibri" w:cs="Tahoma"/>
                <w:b w:val="0"/>
                <w:sz w:val="20"/>
              </w:rPr>
              <w:t>UPRAVNI SPOR</w:t>
            </w:r>
          </w:p>
          <w:p w14:paraId="39359E99" w14:textId="77777777" w:rsidR="00CF1FB5" w:rsidRPr="00955EF7" w:rsidRDefault="00CF1FB5" w:rsidP="00CF1FB5">
            <w:pPr>
              <w:numPr>
                <w:ilvl w:val="1"/>
                <w:numId w:val="2"/>
              </w:numPr>
              <w:jc w:val="both"/>
              <w:rPr>
                <w:rFonts w:cs="Tahoma"/>
                <w:sz w:val="20"/>
                <w:szCs w:val="20"/>
              </w:rPr>
            </w:pPr>
            <w:r w:rsidRPr="00955EF7">
              <w:rPr>
                <w:rFonts w:cs="Tahoma"/>
                <w:sz w:val="20"/>
                <w:szCs w:val="20"/>
              </w:rPr>
              <w:t>Teorija sodnega nadzora nad upravo</w:t>
            </w:r>
          </w:p>
          <w:p w14:paraId="59122208" w14:textId="77777777" w:rsidR="00CF1FB5" w:rsidRPr="00955EF7" w:rsidRDefault="00CF1FB5" w:rsidP="00CF1FB5">
            <w:pPr>
              <w:numPr>
                <w:ilvl w:val="1"/>
                <w:numId w:val="2"/>
              </w:numPr>
              <w:jc w:val="both"/>
              <w:rPr>
                <w:rFonts w:cs="Tahoma"/>
                <w:sz w:val="20"/>
                <w:szCs w:val="20"/>
              </w:rPr>
            </w:pPr>
            <w:r w:rsidRPr="00955EF7">
              <w:rPr>
                <w:rFonts w:cs="Tahoma"/>
                <w:sz w:val="20"/>
                <w:szCs w:val="20"/>
              </w:rPr>
              <w:t>Kaj je upravni spor</w:t>
            </w:r>
          </w:p>
          <w:p w14:paraId="27B06D91" w14:textId="77777777" w:rsidR="00CF1FB5" w:rsidRPr="00955EF7" w:rsidRDefault="00CF1FB5" w:rsidP="00CF1FB5">
            <w:pPr>
              <w:numPr>
                <w:ilvl w:val="1"/>
                <w:numId w:val="2"/>
              </w:numPr>
              <w:jc w:val="both"/>
              <w:rPr>
                <w:rFonts w:cs="Tahoma"/>
                <w:sz w:val="20"/>
                <w:szCs w:val="20"/>
              </w:rPr>
            </w:pPr>
            <w:r w:rsidRPr="00955EF7">
              <w:rPr>
                <w:rFonts w:cs="Tahoma"/>
                <w:sz w:val="20"/>
                <w:szCs w:val="20"/>
              </w:rPr>
              <w:t>Vrste upravnega spora</w:t>
            </w:r>
          </w:p>
          <w:p w14:paraId="3668134A" w14:textId="77777777" w:rsidR="00CF1FB5" w:rsidRPr="00955EF7" w:rsidRDefault="00CF1FB5" w:rsidP="00CF1FB5">
            <w:pPr>
              <w:numPr>
                <w:ilvl w:val="1"/>
                <w:numId w:val="2"/>
              </w:numPr>
              <w:jc w:val="both"/>
              <w:rPr>
                <w:rFonts w:cs="Tahoma"/>
                <w:sz w:val="20"/>
                <w:szCs w:val="20"/>
              </w:rPr>
            </w:pPr>
            <w:r w:rsidRPr="00955EF7">
              <w:rPr>
                <w:rFonts w:cs="Tahoma"/>
                <w:sz w:val="20"/>
                <w:szCs w:val="20"/>
              </w:rPr>
              <w:t>Zgodovinski pregled</w:t>
            </w:r>
          </w:p>
          <w:p w14:paraId="51B8DFE3" w14:textId="77777777" w:rsidR="00CF1FB5" w:rsidRPr="00955EF7" w:rsidRDefault="00CF1FB5" w:rsidP="00CF1FB5">
            <w:pPr>
              <w:numPr>
                <w:ilvl w:val="1"/>
                <w:numId w:val="2"/>
              </w:numPr>
              <w:jc w:val="both"/>
              <w:rPr>
                <w:rFonts w:cs="Tahoma"/>
                <w:sz w:val="20"/>
                <w:szCs w:val="20"/>
              </w:rPr>
            </w:pPr>
            <w:r w:rsidRPr="00955EF7">
              <w:rPr>
                <w:rFonts w:cs="Tahoma"/>
                <w:sz w:val="20"/>
                <w:szCs w:val="20"/>
              </w:rPr>
              <w:t>Primerjalni pregled</w:t>
            </w:r>
          </w:p>
          <w:p w14:paraId="3C71F7C8" w14:textId="77777777" w:rsidR="00CF1FB5" w:rsidRPr="00955EF7" w:rsidRDefault="00CF1FB5" w:rsidP="00CF1FB5">
            <w:pPr>
              <w:numPr>
                <w:ilvl w:val="1"/>
                <w:numId w:val="2"/>
              </w:numPr>
              <w:jc w:val="both"/>
              <w:rPr>
                <w:rFonts w:cs="Tahoma"/>
                <w:sz w:val="20"/>
                <w:szCs w:val="20"/>
              </w:rPr>
            </w:pPr>
            <w:r w:rsidRPr="00955EF7">
              <w:rPr>
                <w:rFonts w:cs="Tahoma"/>
                <w:sz w:val="20"/>
                <w:szCs w:val="20"/>
              </w:rPr>
              <w:t>Značilnosti našega upravnega spora</w:t>
            </w:r>
          </w:p>
          <w:p w14:paraId="7B3B9835" w14:textId="77777777" w:rsidR="00CF1FB5" w:rsidRPr="00955EF7" w:rsidRDefault="00CF1FB5" w:rsidP="00CF1FB5">
            <w:pPr>
              <w:pStyle w:val="preslmali2"/>
              <w:numPr>
                <w:ilvl w:val="0"/>
                <w:numId w:val="2"/>
              </w:numPr>
              <w:rPr>
                <w:rFonts w:ascii="Calibri" w:hAnsi="Calibri" w:cs="Tahoma"/>
                <w:caps/>
                <w:sz w:val="20"/>
                <w:szCs w:val="20"/>
                <w:lang w:val="sl-SI"/>
              </w:rPr>
            </w:pPr>
            <w:r w:rsidRPr="00955EF7">
              <w:rPr>
                <w:rFonts w:ascii="Calibri" w:hAnsi="Calibri" w:cs="Tahoma"/>
                <w:caps/>
                <w:sz w:val="20"/>
                <w:szCs w:val="20"/>
                <w:lang w:val="sl-SI"/>
              </w:rPr>
              <w:t xml:space="preserve">TemeljnA načela in rešitve postopka </w:t>
            </w:r>
          </w:p>
          <w:p w14:paraId="384B2051" w14:textId="77777777" w:rsidR="00CF1FB5" w:rsidRPr="00955EF7" w:rsidRDefault="00CF1FB5" w:rsidP="00CF1FB5">
            <w:pPr>
              <w:pStyle w:val="tockalevo2"/>
              <w:numPr>
                <w:ilvl w:val="1"/>
                <w:numId w:val="2"/>
              </w:numPr>
              <w:jc w:val="both"/>
              <w:rPr>
                <w:rFonts w:ascii="Calibri" w:hAnsi="Calibri" w:cs="Tahoma"/>
                <w:bCs/>
                <w:sz w:val="20"/>
              </w:rPr>
            </w:pPr>
            <w:r w:rsidRPr="00955EF7">
              <w:rPr>
                <w:rFonts w:ascii="Calibri" w:hAnsi="Calibri" w:cs="Tahoma"/>
                <w:bCs/>
                <w:sz w:val="20"/>
              </w:rPr>
              <w:t>Sodišča in splošne značilnosti postopka</w:t>
            </w:r>
          </w:p>
          <w:p w14:paraId="35238F08"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Udeleženci upravnosodnega postopka</w:t>
            </w:r>
          </w:p>
          <w:p w14:paraId="3032E3F3"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Tožbeni postopek</w:t>
            </w:r>
          </w:p>
          <w:p w14:paraId="2B5FA40A"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Začasna odredba</w:t>
            </w:r>
          </w:p>
          <w:p w14:paraId="0F24E768"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Odločanje sodišča prve stopnje:</w:t>
            </w:r>
          </w:p>
          <w:p w14:paraId="15CE371B"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Odločanje na glavni obravnavi in seji</w:t>
            </w:r>
          </w:p>
          <w:p w14:paraId="2324D4BC"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Pooblastila odločanja sodišča</w:t>
            </w:r>
          </w:p>
          <w:p w14:paraId="5702068A" w14:textId="77777777" w:rsidR="00CF1FB5" w:rsidRPr="00955EF7" w:rsidRDefault="00CF1FB5" w:rsidP="00CF1FB5">
            <w:pPr>
              <w:numPr>
                <w:ilvl w:val="1"/>
                <w:numId w:val="2"/>
              </w:numPr>
              <w:jc w:val="both"/>
              <w:rPr>
                <w:rFonts w:cs="Tahoma"/>
                <w:bCs/>
                <w:sz w:val="20"/>
                <w:szCs w:val="20"/>
              </w:rPr>
            </w:pPr>
            <w:r w:rsidRPr="00955EF7">
              <w:rPr>
                <w:rFonts w:cs="Tahoma"/>
                <w:bCs/>
                <w:sz w:val="20"/>
                <w:szCs w:val="20"/>
              </w:rPr>
              <w:t>Pritožba</w:t>
            </w:r>
          </w:p>
          <w:p w14:paraId="03C1B899" w14:textId="77777777" w:rsidR="00CF1FB5" w:rsidRPr="00955EF7" w:rsidRDefault="00CF1FB5" w:rsidP="00CF1FB5">
            <w:pPr>
              <w:numPr>
                <w:ilvl w:val="1"/>
                <w:numId w:val="2"/>
              </w:numPr>
              <w:jc w:val="both"/>
              <w:rPr>
                <w:rFonts w:cs="Tahoma"/>
                <w:sz w:val="20"/>
                <w:szCs w:val="20"/>
              </w:rPr>
            </w:pPr>
            <w:r w:rsidRPr="00955EF7">
              <w:rPr>
                <w:rFonts w:cs="Tahoma"/>
                <w:bCs/>
                <w:sz w:val="20"/>
                <w:szCs w:val="20"/>
              </w:rPr>
              <w:t>Izredna pravna sredstva</w:t>
            </w:r>
          </w:p>
          <w:p w14:paraId="39D37E9A" w14:textId="77777777" w:rsidR="00CF1FB5" w:rsidRPr="008B58EB" w:rsidRDefault="00CF1FB5" w:rsidP="00CF1FB5">
            <w:pPr>
              <w:rPr>
                <w:rFonts w:cs="Calibri"/>
                <w:sz w:val="20"/>
                <w:szCs w:val="20"/>
              </w:rPr>
            </w:pPr>
          </w:p>
        </w:tc>
        <w:tc>
          <w:tcPr>
            <w:tcW w:w="152" w:type="dxa"/>
            <w:gridSpan w:val="2"/>
            <w:tcBorders>
              <w:top w:val="nil"/>
              <w:left w:val="single" w:sz="4" w:space="0" w:color="auto"/>
              <w:bottom w:val="nil"/>
              <w:right w:val="single" w:sz="4" w:space="0" w:color="auto"/>
            </w:tcBorders>
          </w:tcPr>
          <w:p w14:paraId="01ACBC8E" w14:textId="77777777" w:rsidR="00CF1FB5" w:rsidRPr="008B58EB" w:rsidRDefault="00CF1FB5" w:rsidP="00CF1FB5">
            <w:pPr>
              <w:rPr>
                <w:rFonts w:cs="Calibri"/>
                <w:sz w:val="20"/>
                <w:szCs w:val="20"/>
              </w:rPr>
            </w:pPr>
          </w:p>
        </w:tc>
        <w:tc>
          <w:tcPr>
            <w:tcW w:w="4820" w:type="dxa"/>
            <w:gridSpan w:val="8"/>
            <w:tcBorders>
              <w:top w:val="single" w:sz="4" w:space="0" w:color="auto"/>
              <w:left w:val="single" w:sz="4" w:space="0" w:color="auto"/>
              <w:bottom w:val="single" w:sz="4" w:space="0" w:color="auto"/>
              <w:right w:val="single" w:sz="4" w:space="0" w:color="auto"/>
            </w:tcBorders>
          </w:tcPr>
          <w:p w14:paraId="5ACA488F" w14:textId="77777777" w:rsidR="00CF1FB5" w:rsidRDefault="00CF1FB5" w:rsidP="00CF1FB5">
            <w:pPr>
              <w:jc w:val="both"/>
              <w:rPr>
                <w:rFonts w:cs="Calibri"/>
                <w:sz w:val="20"/>
                <w:szCs w:val="20"/>
              </w:rPr>
            </w:pPr>
            <w:r>
              <w:rPr>
                <w:rFonts w:cs="Calibri"/>
                <w:sz w:val="20"/>
                <w:szCs w:val="20"/>
              </w:rPr>
              <w:t>1. INTRODUCTION TO ADMINISTRATIVE PROCEDURE LAW</w:t>
            </w:r>
          </w:p>
          <w:p w14:paraId="1D4E7FE7" w14:textId="77777777" w:rsidR="00CF1FB5" w:rsidRPr="008B58EB" w:rsidRDefault="00CF1FB5" w:rsidP="00CF1FB5">
            <w:pPr>
              <w:pStyle w:val="tockalevo2"/>
              <w:numPr>
                <w:ilvl w:val="1"/>
                <w:numId w:val="5"/>
              </w:numPr>
              <w:jc w:val="both"/>
              <w:rPr>
                <w:rFonts w:ascii="Calibri" w:hAnsi="Calibri" w:cs="Tahoma"/>
                <w:sz w:val="20"/>
                <w:lang w:val="en-US"/>
              </w:rPr>
            </w:pPr>
            <w:r>
              <w:rPr>
                <w:rFonts w:ascii="Calibri" w:hAnsi="Calibri" w:cs="Tahoma"/>
                <w:sz w:val="20"/>
                <w:lang w:val="en-US"/>
              </w:rPr>
              <w:t>Administrative procedure law and administrative substantive law</w:t>
            </w:r>
          </w:p>
          <w:p w14:paraId="678D8540" w14:textId="77777777" w:rsidR="00CF1FB5" w:rsidRPr="00CC5719" w:rsidRDefault="00CF1FB5" w:rsidP="00CF1FB5">
            <w:pPr>
              <w:pStyle w:val="tockalevo2"/>
              <w:numPr>
                <w:ilvl w:val="1"/>
                <w:numId w:val="5"/>
              </w:numPr>
              <w:jc w:val="both"/>
              <w:rPr>
                <w:rFonts w:asciiTheme="minorHAnsi" w:hAnsiTheme="minorHAnsi" w:cstheme="minorHAnsi"/>
                <w:sz w:val="20"/>
                <w:lang w:val="en-US"/>
              </w:rPr>
            </w:pPr>
            <w:r w:rsidRPr="00CC5719">
              <w:rPr>
                <w:rStyle w:val="tlid-translation"/>
                <w:rFonts w:asciiTheme="minorHAnsi" w:hAnsiTheme="minorHAnsi" w:cstheme="minorHAnsi"/>
                <w:sz w:val="20"/>
              </w:rPr>
              <w:t>The importance of public-law procedural protection</w:t>
            </w:r>
            <w:r w:rsidRPr="00CC5719">
              <w:rPr>
                <w:rFonts w:asciiTheme="minorHAnsi" w:hAnsiTheme="minorHAnsi" w:cstheme="minorHAnsi"/>
                <w:sz w:val="20"/>
                <w:lang w:val="en-US"/>
              </w:rPr>
              <w:t xml:space="preserve">: </w:t>
            </w:r>
          </w:p>
          <w:p w14:paraId="3B3DDB44" w14:textId="77777777" w:rsidR="00CF1FB5" w:rsidRPr="008B58EB" w:rsidRDefault="00CF1FB5" w:rsidP="00CF1FB5">
            <w:pPr>
              <w:pStyle w:val="tockalevo2"/>
              <w:ind w:left="792" w:firstLine="0"/>
              <w:jc w:val="both"/>
              <w:rPr>
                <w:rFonts w:ascii="Calibri" w:hAnsi="Calibri" w:cs="Tahoma"/>
                <w:sz w:val="20"/>
                <w:lang w:val="en-US"/>
              </w:rPr>
            </w:pPr>
            <w:r>
              <w:rPr>
                <w:rFonts w:ascii="Calibri" w:hAnsi="Calibri" w:cs="Tahoma"/>
                <w:sz w:val="20"/>
                <w:lang w:val="en-US"/>
              </w:rPr>
              <w:t>deciding on public rights and obligations and public-law interests of legal and natural persons in a legitimate procedure</w:t>
            </w:r>
          </w:p>
          <w:p w14:paraId="4F119293" w14:textId="77777777" w:rsidR="00CF1FB5" w:rsidRPr="00CC5719" w:rsidRDefault="00CF1FB5" w:rsidP="00CF1FB5">
            <w:pPr>
              <w:pStyle w:val="tockalevo2"/>
              <w:numPr>
                <w:ilvl w:val="1"/>
                <w:numId w:val="5"/>
              </w:numPr>
              <w:jc w:val="both"/>
              <w:rPr>
                <w:rStyle w:val="tlid-translation"/>
                <w:rFonts w:asciiTheme="minorHAnsi" w:hAnsiTheme="minorHAnsi" w:cstheme="minorHAnsi"/>
                <w:sz w:val="20"/>
                <w:lang w:val="en-US"/>
              </w:rPr>
            </w:pPr>
            <w:r w:rsidRPr="00CC5719">
              <w:rPr>
                <w:rStyle w:val="tlid-translation"/>
                <w:rFonts w:asciiTheme="minorHAnsi" w:hAnsiTheme="minorHAnsi" w:cstheme="minorHAnsi"/>
                <w:sz w:val="20"/>
              </w:rPr>
              <w:t>Concept of administrative procedure and administrative dispute and legal sources</w:t>
            </w:r>
          </w:p>
          <w:p w14:paraId="7030E731" w14:textId="77777777" w:rsidR="00CF1FB5" w:rsidRDefault="00CF1FB5" w:rsidP="00CF1FB5">
            <w:pPr>
              <w:pStyle w:val="tockalevo2"/>
              <w:numPr>
                <w:ilvl w:val="1"/>
                <w:numId w:val="5"/>
              </w:numPr>
              <w:jc w:val="both"/>
              <w:rPr>
                <w:rFonts w:ascii="Calibri" w:hAnsi="Calibri" w:cs="Tahoma"/>
                <w:sz w:val="20"/>
                <w:lang w:val="en-US"/>
              </w:rPr>
            </w:pPr>
            <w:r w:rsidRPr="008F6E53">
              <w:rPr>
                <w:rFonts w:ascii="Calibri" w:hAnsi="Calibri" w:cs="Tahoma"/>
                <w:sz w:val="20"/>
                <w:lang w:val="en-US"/>
              </w:rPr>
              <w:t>Relation to other procedures</w:t>
            </w:r>
          </w:p>
          <w:p w14:paraId="1F22422E" w14:textId="77777777" w:rsidR="00CF1FB5" w:rsidRPr="00916698" w:rsidRDefault="00CF1FB5" w:rsidP="00CF1FB5">
            <w:pPr>
              <w:pStyle w:val="tockalevo2"/>
              <w:numPr>
                <w:ilvl w:val="1"/>
                <w:numId w:val="5"/>
              </w:numPr>
              <w:jc w:val="both"/>
              <w:rPr>
                <w:rStyle w:val="tlid-translation"/>
                <w:rFonts w:asciiTheme="minorHAnsi" w:hAnsiTheme="minorHAnsi" w:cstheme="minorHAnsi"/>
                <w:sz w:val="20"/>
                <w:lang w:val="en-GB"/>
              </w:rPr>
            </w:pPr>
            <w:r w:rsidRPr="00916698">
              <w:rPr>
                <w:rStyle w:val="tlid-translation"/>
                <w:rFonts w:asciiTheme="minorHAnsi" w:hAnsiTheme="minorHAnsi" w:cstheme="minorHAnsi"/>
                <w:sz w:val="20"/>
                <w:lang w:val="en-GB"/>
              </w:rPr>
              <w:t>The purpose of legal regulation of  administrative procedure and administrative dispute</w:t>
            </w:r>
          </w:p>
          <w:p w14:paraId="0051B076" w14:textId="77777777" w:rsidR="00CF1FB5" w:rsidRPr="00D165CF" w:rsidRDefault="00CF1FB5" w:rsidP="00CF1FB5">
            <w:pPr>
              <w:pStyle w:val="tockalevo2"/>
              <w:numPr>
                <w:ilvl w:val="1"/>
                <w:numId w:val="5"/>
              </w:numPr>
              <w:jc w:val="both"/>
              <w:rPr>
                <w:rStyle w:val="tlid-translation"/>
                <w:rFonts w:asciiTheme="minorHAnsi" w:hAnsiTheme="minorHAnsi" w:cstheme="minorHAnsi"/>
                <w:sz w:val="20"/>
                <w:lang w:val="en-US"/>
              </w:rPr>
            </w:pPr>
            <w:r w:rsidRPr="008F6E53">
              <w:rPr>
                <w:rStyle w:val="tlid-translation"/>
                <w:rFonts w:asciiTheme="minorHAnsi" w:hAnsiTheme="minorHAnsi" w:cstheme="minorHAnsi"/>
                <w:sz w:val="20"/>
              </w:rPr>
              <w:t>Legal sources of administrative procedure and administrative dispute</w:t>
            </w:r>
          </w:p>
          <w:p w14:paraId="58EB58DC" w14:textId="77777777" w:rsidR="00CF1FB5" w:rsidRPr="00D165CF" w:rsidRDefault="00CF1FB5" w:rsidP="00CF1FB5">
            <w:pPr>
              <w:pStyle w:val="tockalevo2"/>
              <w:numPr>
                <w:ilvl w:val="0"/>
                <w:numId w:val="5"/>
              </w:numPr>
              <w:jc w:val="both"/>
              <w:rPr>
                <w:rFonts w:asciiTheme="minorHAnsi" w:hAnsiTheme="minorHAnsi" w:cstheme="minorHAnsi"/>
                <w:sz w:val="20"/>
                <w:lang w:val="en-US"/>
              </w:rPr>
            </w:pPr>
            <w:r w:rsidRPr="00D165CF">
              <w:rPr>
                <w:rFonts w:ascii="Calibri" w:hAnsi="Calibri" w:cs="Tahoma"/>
                <w:caps/>
                <w:sz w:val="20"/>
                <w:lang w:val="en-US"/>
              </w:rPr>
              <w:lastRenderedPageBreak/>
              <w:t>FUNDAMENTAL CHARACTERISTICS OF ADMINISTRATIVE PROCEDURE</w:t>
            </w:r>
          </w:p>
          <w:p w14:paraId="57BCE064" w14:textId="77777777" w:rsidR="00CF1FB5" w:rsidRPr="00955EF7" w:rsidRDefault="00CF1FB5" w:rsidP="00CF1FB5">
            <w:pPr>
              <w:pStyle w:val="tockalevo2"/>
              <w:numPr>
                <w:ilvl w:val="1"/>
                <w:numId w:val="5"/>
              </w:numPr>
              <w:jc w:val="both"/>
              <w:rPr>
                <w:rFonts w:ascii="Calibri" w:hAnsi="Calibri" w:cs="Tahoma"/>
                <w:sz w:val="20"/>
                <w:lang w:val="en-GB"/>
              </w:rPr>
            </w:pPr>
            <w:r w:rsidRPr="00955EF7">
              <w:rPr>
                <w:rFonts w:ascii="Calibri" w:hAnsi="Calibri" w:cs="Tahoma"/>
                <w:sz w:val="20"/>
                <w:lang w:val="en-GB"/>
              </w:rPr>
              <w:t xml:space="preserve">Protection of public </w:t>
            </w:r>
            <w:r>
              <w:rPr>
                <w:rFonts w:ascii="Calibri" w:hAnsi="Calibri" w:cs="Tahoma"/>
                <w:sz w:val="20"/>
                <w:lang w:val="en-GB"/>
              </w:rPr>
              <w:t>interests</w:t>
            </w:r>
            <w:r w:rsidRPr="00955EF7">
              <w:rPr>
                <w:rFonts w:ascii="Calibri" w:hAnsi="Calibri" w:cs="Tahoma"/>
                <w:sz w:val="20"/>
                <w:lang w:val="en-GB"/>
              </w:rPr>
              <w:t xml:space="preserve"> and protection of the rights of parties in administrative procedure and administrative dispute</w:t>
            </w:r>
          </w:p>
          <w:p w14:paraId="03F936D8" w14:textId="77777777" w:rsidR="00CF1FB5" w:rsidRPr="00955EF7" w:rsidRDefault="00CF1FB5" w:rsidP="00CF1FB5">
            <w:pPr>
              <w:pStyle w:val="tockalevo2"/>
              <w:numPr>
                <w:ilvl w:val="1"/>
                <w:numId w:val="5"/>
              </w:numPr>
              <w:jc w:val="both"/>
              <w:rPr>
                <w:rFonts w:ascii="Calibri" w:hAnsi="Calibri" w:cs="Tahoma"/>
                <w:sz w:val="20"/>
                <w:lang w:val="en-GB"/>
              </w:rPr>
            </w:pPr>
            <w:r w:rsidRPr="00955EF7">
              <w:rPr>
                <w:rFonts w:ascii="Calibri" w:hAnsi="Calibri" w:cs="Tahoma"/>
                <w:sz w:val="20"/>
                <w:lang w:val="en-GB"/>
              </w:rPr>
              <w:t>Fundamental procedural guarantees of administrative procedural law; an individual as a subject and not an object in the decision-making process</w:t>
            </w:r>
          </w:p>
          <w:p w14:paraId="0AB9C022" w14:textId="77777777" w:rsidR="00CF1FB5" w:rsidRPr="00916698" w:rsidRDefault="00CF1FB5" w:rsidP="00CF1FB5">
            <w:pPr>
              <w:pStyle w:val="tockalevo2"/>
              <w:numPr>
                <w:ilvl w:val="1"/>
                <w:numId w:val="5"/>
              </w:numPr>
              <w:jc w:val="both"/>
              <w:rPr>
                <w:rStyle w:val="tlid-translation"/>
                <w:rFonts w:asciiTheme="minorHAnsi" w:hAnsiTheme="minorHAnsi" w:cstheme="minorHAnsi"/>
                <w:sz w:val="20"/>
                <w:lang w:val="en-GB"/>
              </w:rPr>
            </w:pPr>
            <w:r w:rsidRPr="00916698">
              <w:rPr>
                <w:rStyle w:val="tlid-translation"/>
                <w:rFonts w:asciiTheme="minorHAnsi" w:hAnsiTheme="minorHAnsi" w:cstheme="minorHAnsi"/>
                <w:sz w:val="20"/>
                <w:lang w:val="en-GB"/>
              </w:rPr>
              <w:t>Types and characteristics of acts issued during administrative procedure and administrative dispute: administrative acts, administrative decis</w:t>
            </w:r>
            <w:r>
              <w:rPr>
                <w:rStyle w:val="tlid-translation"/>
                <w:rFonts w:asciiTheme="minorHAnsi" w:hAnsiTheme="minorHAnsi" w:cstheme="minorHAnsi"/>
                <w:sz w:val="20"/>
                <w:lang w:val="en-GB"/>
              </w:rPr>
              <w:t>ions, administrative contracts, court’s decisions</w:t>
            </w:r>
            <w:r w:rsidRPr="00916698">
              <w:rPr>
                <w:rStyle w:val="tlid-translation"/>
                <w:rFonts w:asciiTheme="minorHAnsi" w:hAnsiTheme="minorHAnsi" w:cstheme="minorHAnsi"/>
                <w:sz w:val="20"/>
                <w:lang w:val="en-GB"/>
              </w:rPr>
              <w:t>, procedural decisions</w:t>
            </w:r>
          </w:p>
          <w:p w14:paraId="130C8CA8" w14:textId="77777777" w:rsidR="00CF1FB5" w:rsidRPr="00955EF7" w:rsidRDefault="00CF1FB5" w:rsidP="00CF1FB5">
            <w:pPr>
              <w:pStyle w:val="tockalevo2"/>
              <w:numPr>
                <w:ilvl w:val="1"/>
                <w:numId w:val="5"/>
              </w:numPr>
              <w:jc w:val="both"/>
              <w:rPr>
                <w:rStyle w:val="Hiperpovezava"/>
                <w:rFonts w:asciiTheme="minorHAnsi" w:hAnsiTheme="minorHAnsi" w:cstheme="minorHAnsi"/>
                <w:color w:val="auto"/>
                <w:sz w:val="20"/>
                <w:u w:val="none"/>
                <w:lang w:val="en-GB"/>
              </w:rPr>
            </w:pPr>
            <w:r w:rsidRPr="00955EF7">
              <w:rPr>
                <w:rFonts w:asciiTheme="minorHAnsi" w:hAnsiTheme="minorHAnsi" w:cstheme="minorHAnsi"/>
                <w:sz w:val="20"/>
                <w:lang w:val="en-GB"/>
              </w:rPr>
              <w:t xml:space="preserve">The decision-making </w:t>
            </w:r>
            <w:r>
              <w:rPr>
                <w:rFonts w:asciiTheme="minorHAnsi" w:hAnsiTheme="minorHAnsi" w:cstheme="minorHAnsi"/>
                <w:sz w:val="20"/>
                <w:lang w:val="en-GB"/>
              </w:rPr>
              <w:t xml:space="preserve">obligation in </w:t>
            </w:r>
            <w:r w:rsidRPr="00955EF7">
              <w:rPr>
                <w:rFonts w:asciiTheme="minorHAnsi" w:hAnsiTheme="minorHAnsi" w:cstheme="minorHAnsi"/>
                <w:sz w:val="20"/>
                <w:lang w:val="en-GB"/>
              </w:rPr>
              <w:t xml:space="preserve"> administrative procedure;</w:t>
            </w:r>
          </w:p>
          <w:p w14:paraId="637CB443" w14:textId="77777777" w:rsidR="00CF1FB5" w:rsidRDefault="00CF1FB5" w:rsidP="00CF1FB5">
            <w:pPr>
              <w:pStyle w:val="tockalevo2"/>
              <w:ind w:left="792" w:firstLine="0"/>
              <w:jc w:val="both"/>
              <w:rPr>
                <w:rStyle w:val="tlid-translation"/>
                <w:rFonts w:asciiTheme="minorHAnsi" w:hAnsiTheme="minorHAnsi" w:cstheme="minorHAnsi"/>
                <w:sz w:val="20"/>
              </w:rPr>
            </w:pPr>
            <w:r w:rsidRPr="00204D94">
              <w:rPr>
                <w:rStyle w:val="tlid-translation"/>
                <w:rFonts w:asciiTheme="minorHAnsi" w:hAnsiTheme="minorHAnsi" w:cstheme="minorHAnsi"/>
                <w:sz w:val="20"/>
              </w:rPr>
              <w:t xml:space="preserve">subsidiary and </w:t>
            </w:r>
            <w:r w:rsidRPr="009B0836">
              <w:rPr>
                <w:rStyle w:val="tlid-translation"/>
                <w:rFonts w:asciiTheme="minorHAnsi" w:hAnsiTheme="minorHAnsi" w:cstheme="minorHAnsi"/>
                <w:i/>
                <w:sz w:val="20"/>
              </w:rPr>
              <w:t>mutatis mutandis</w:t>
            </w:r>
            <w:r>
              <w:rPr>
                <w:rStyle w:val="tlid-translation"/>
                <w:rFonts w:asciiTheme="minorHAnsi" w:hAnsiTheme="minorHAnsi" w:cstheme="minorHAnsi"/>
                <w:sz w:val="20"/>
              </w:rPr>
              <w:t xml:space="preserve"> application of </w:t>
            </w:r>
            <w:r w:rsidRPr="00204D94">
              <w:rPr>
                <w:rStyle w:val="tlid-translation"/>
                <w:rFonts w:asciiTheme="minorHAnsi" w:hAnsiTheme="minorHAnsi" w:cstheme="minorHAnsi"/>
                <w:sz w:val="20"/>
              </w:rPr>
              <w:t xml:space="preserve"> administrative procedure</w:t>
            </w:r>
          </w:p>
          <w:p w14:paraId="421C6720" w14:textId="77777777" w:rsidR="00CF1FB5" w:rsidRDefault="00CF1FB5" w:rsidP="00CF1FB5">
            <w:pPr>
              <w:pStyle w:val="tockalevo2"/>
              <w:numPr>
                <w:ilvl w:val="1"/>
                <w:numId w:val="5"/>
              </w:numPr>
              <w:jc w:val="both"/>
              <w:rPr>
                <w:rStyle w:val="tlid-translation"/>
                <w:rFonts w:asciiTheme="minorHAnsi" w:hAnsiTheme="minorHAnsi" w:cstheme="minorHAnsi"/>
                <w:sz w:val="20"/>
              </w:rPr>
            </w:pPr>
            <w:r w:rsidRPr="00FF41FE">
              <w:rPr>
                <w:rStyle w:val="tlid-translation"/>
                <w:rFonts w:asciiTheme="minorHAnsi" w:hAnsiTheme="minorHAnsi" w:cstheme="minorHAnsi"/>
                <w:sz w:val="20"/>
              </w:rPr>
              <w:t>The scope and importance of judicial review of the administration's decision</w:t>
            </w:r>
          </w:p>
          <w:p w14:paraId="56AD08F8" w14:textId="77777777" w:rsidR="00CF1FB5" w:rsidRDefault="00CF1FB5" w:rsidP="00CF1FB5">
            <w:pPr>
              <w:pStyle w:val="tockalevo2"/>
              <w:numPr>
                <w:ilvl w:val="0"/>
                <w:numId w:val="5"/>
              </w:numPr>
              <w:jc w:val="both"/>
              <w:rPr>
                <w:rStyle w:val="tlid-translation"/>
                <w:rFonts w:asciiTheme="minorHAnsi" w:hAnsiTheme="minorHAnsi" w:cstheme="minorHAnsi"/>
                <w:sz w:val="20"/>
              </w:rPr>
            </w:pPr>
            <w:r>
              <w:rPr>
                <w:rStyle w:val="tlid-translation"/>
                <w:rFonts w:asciiTheme="minorHAnsi" w:hAnsiTheme="minorHAnsi" w:cstheme="minorHAnsi"/>
                <w:sz w:val="20"/>
              </w:rPr>
              <w:t>ADMINISTRATIVE PROCEDURE</w:t>
            </w:r>
          </w:p>
          <w:p w14:paraId="473E03D6"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Fundamental principles</w:t>
            </w:r>
          </w:p>
          <w:p w14:paraId="3125F83E" w14:textId="77777777" w:rsidR="00CF1FB5" w:rsidRPr="002A2C35" w:rsidRDefault="00CF1FB5" w:rsidP="00CF1FB5">
            <w:pPr>
              <w:numPr>
                <w:ilvl w:val="1"/>
                <w:numId w:val="5"/>
              </w:numPr>
              <w:jc w:val="both"/>
              <w:rPr>
                <w:rFonts w:cs="Tahoma"/>
                <w:bCs/>
                <w:sz w:val="20"/>
                <w:szCs w:val="20"/>
                <w:lang w:val="en-US"/>
              </w:rPr>
            </w:pPr>
            <w:r w:rsidRPr="002A2C35">
              <w:rPr>
                <w:rFonts w:cs="Tahoma"/>
                <w:bCs/>
                <w:sz w:val="20"/>
                <w:szCs w:val="20"/>
                <w:lang w:val="en-US"/>
              </w:rPr>
              <w:t xml:space="preserve">Jurisdiction </w:t>
            </w:r>
            <w:r>
              <w:rPr>
                <w:rFonts w:cs="Tahoma"/>
                <w:bCs/>
                <w:sz w:val="20"/>
                <w:szCs w:val="20"/>
                <w:lang w:val="en-US"/>
              </w:rPr>
              <w:t>for deciding</w:t>
            </w:r>
            <w:r w:rsidRPr="002A2C35">
              <w:rPr>
                <w:rFonts w:cs="Tahoma"/>
                <w:bCs/>
                <w:sz w:val="20"/>
                <w:szCs w:val="20"/>
                <w:lang w:val="en-US"/>
              </w:rPr>
              <w:t xml:space="preserve"> in administrative procedure</w:t>
            </w:r>
          </w:p>
          <w:p w14:paraId="18B131A7" w14:textId="77777777" w:rsidR="00CF1FB5" w:rsidRPr="002A2C35" w:rsidRDefault="00CF1FB5" w:rsidP="00CF1FB5">
            <w:pPr>
              <w:numPr>
                <w:ilvl w:val="1"/>
                <w:numId w:val="5"/>
              </w:numPr>
              <w:jc w:val="both"/>
              <w:rPr>
                <w:rFonts w:cs="Tahoma"/>
                <w:bCs/>
                <w:sz w:val="20"/>
                <w:szCs w:val="20"/>
                <w:lang w:val="en-US"/>
              </w:rPr>
            </w:pPr>
            <w:r>
              <w:rPr>
                <w:rFonts w:cs="Tahoma"/>
                <w:bCs/>
                <w:sz w:val="20"/>
                <w:szCs w:val="20"/>
                <w:lang w:val="en-US"/>
              </w:rPr>
              <w:t>A</w:t>
            </w:r>
            <w:r w:rsidRPr="002A2C35">
              <w:rPr>
                <w:rFonts w:cs="Tahoma"/>
                <w:bCs/>
                <w:sz w:val="20"/>
                <w:szCs w:val="20"/>
                <w:lang w:val="en-US"/>
              </w:rPr>
              <w:t xml:space="preserve"> party and its </w:t>
            </w:r>
            <w:r>
              <w:rPr>
                <w:rFonts w:cs="Tahoma"/>
                <w:bCs/>
                <w:sz w:val="20"/>
                <w:szCs w:val="20"/>
                <w:lang w:val="en-US"/>
              </w:rPr>
              <w:t xml:space="preserve">representation in </w:t>
            </w:r>
            <w:r w:rsidRPr="002A2C35">
              <w:rPr>
                <w:rFonts w:cs="Tahoma"/>
                <w:bCs/>
                <w:sz w:val="20"/>
                <w:szCs w:val="20"/>
                <w:lang w:val="en-US"/>
              </w:rPr>
              <w:t xml:space="preserve"> administrative procedure</w:t>
            </w:r>
          </w:p>
          <w:p w14:paraId="60CA7FF3" w14:textId="77777777" w:rsidR="00CF1FB5" w:rsidRDefault="00CF1FB5" w:rsidP="00CF1FB5">
            <w:pPr>
              <w:numPr>
                <w:ilvl w:val="1"/>
                <w:numId w:val="5"/>
              </w:numPr>
              <w:jc w:val="both"/>
              <w:rPr>
                <w:rFonts w:cs="Tahoma"/>
                <w:bCs/>
                <w:sz w:val="20"/>
                <w:szCs w:val="20"/>
                <w:lang w:val="en-US"/>
              </w:rPr>
            </w:pPr>
            <w:r w:rsidRPr="002A2C35">
              <w:rPr>
                <w:rFonts w:cs="Tahoma"/>
                <w:bCs/>
                <w:sz w:val="20"/>
                <w:szCs w:val="20"/>
                <w:lang w:val="en-US"/>
              </w:rPr>
              <w:t>Communication between authoriti</w:t>
            </w:r>
            <w:r>
              <w:rPr>
                <w:rFonts w:cs="Tahoma"/>
                <w:bCs/>
                <w:sz w:val="20"/>
                <w:szCs w:val="20"/>
                <w:lang w:val="en-US"/>
              </w:rPr>
              <w:t>es and partie</w:t>
            </w:r>
            <w:r w:rsidRPr="002A2C35">
              <w:rPr>
                <w:rFonts w:cs="Tahoma"/>
                <w:bCs/>
                <w:sz w:val="20"/>
                <w:szCs w:val="20"/>
                <w:lang w:val="en-US"/>
              </w:rPr>
              <w:t>s</w:t>
            </w:r>
          </w:p>
          <w:p w14:paraId="539B7487"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Service in administrative procedure</w:t>
            </w:r>
          </w:p>
          <w:p w14:paraId="0DD2446D"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Time limits and hearings in administrative procedure and reinstatement of a case</w:t>
            </w:r>
          </w:p>
          <w:p w14:paraId="5697B3DB"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Maintaining order in administrative procedure</w:t>
            </w:r>
          </w:p>
          <w:p w14:paraId="14DBC37C"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Costs of administrative procedure</w:t>
            </w:r>
          </w:p>
          <w:p w14:paraId="4DE7273D" w14:textId="77777777" w:rsidR="00CF1FB5" w:rsidRPr="008B58EB" w:rsidRDefault="00CF1FB5" w:rsidP="00CF1FB5">
            <w:pPr>
              <w:numPr>
                <w:ilvl w:val="0"/>
                <w:numId w:val="5"/>
              </w:numPr>
              <w:jc w:val="both"/>
              <w:rPr>
                <w:rFonts w:cs="Tahoma"/>
                <w:sz w:val="20"/>
                <w:szCs w:val="20"/>
                <w:lang w:val="en-US"/>
              </w:rPr>
            </w:pPr>
            <w:r>
              <w:rPr>
                <w:rFonts w:cs="Tahoma"/>
                <w:bCs/>
                <w:sz w:val="20"/>
                <w:szCs w:val="20"/>
                <w:lang w:val="en-US"/>
              </w:rPr>
              <w:t>PROCEDURE AT THE FIRST INSTANCE</w:t>
            </w:r>
          </w:p>
          <w:p w14:paraId="37D93C08" w14:textId="77777777" w:rsidR="00CF1FB5" w:rsidRPr="002A2C35" w:rsidRDefault="00CF1FB5" w:rsidP="00CF1FB5">
            <w:pPr>
              <w:numPr>
                <w:ilvl w:val="1"/>
                <w:numId w:val="5"/>
              </w:numPr>
              <w:jc w:val="both"/>
              <w:rPr>
                <w:rFonts w:cs="Tahoma"/>
                <w:bCs/>
                <w:sz w:val="20"/>
                <w:szCs w:val="20"/>
                <w:lang w:val="en-US"/>
              </w:rPr>
            </w:pPr>
            <w:r>
              <w:rPr>
                <w:rFonts w:cs="Arial"/>
                <w:sz w:val="20"/>
                <w:szCs w:val="20"/>
                <w:lang w:val="en-GB" w:eastAsia="ar-SA"/>
              </w:rPr>
              <w:t>Initiation of an</w:t>
            </w:r>
            <w:r w:rsidRPr="002A2C35">
              <w:rPr>
                <w:rFonts w:cs="Arial"/>
                <w:sz w:val="20"/>
                <w:szCs w:val="20"/>
                <w:lang w:val="en-GB" w:eastAsia="ar-SA"/>
              </w:rPr>
              <w:t xml:space="preserve"> administrative procedure</w:t>
            </w:r>
            <w:r>
              <w:rPr>
                <w:rFonts w:cs="Arial"/>
                <w:sz w:val="20"/>
                <w:szCs w:val="20"/>
                <w:lang w:val="en-GB" w:eastAsia="ar-SA"/>
              </w:rPr>
              <w:t xml:space="preserve"> and claims by the parties</w:t>
            </w:r>
          </w:p>
          <w:p w14:paraId="23E0D5D3"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Procedure preceding decision</w:t>
            </w:r>
          </w:p>
          <w:p w14:paraId="0377CE1B"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Presenting evidence</w:t>
            </w:r>
          </w:p>
          <w:p w14:paraId="262A9C1B"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Certificates</w:t>
            </w:r>
          </w:p>
          <w:p w14:paraId="4BB3776C" w14:textId="77777777" w:rsidR="00CF1FB5" w:rsidRDefault="00CF1FB5" w:rsidP="00CF1FB5">
            <w:pPr>
              <w:numPr>
                <w:ilvl w:val="1"/>
                <w:numId w:val="5"/>
              </w:numPr>
              <w:jc w:val="both"/>
              <w:rPr>
                <w:rFonts w:cs="Tahoma"/>
                <w:bCs/>
                <w:sz w:val="20"/>
                <w:szCs w:val="20"/>
                <w:lang w:val="en-US"/>
              </w:rPr>
            </w:pPr>
            <w:r>
              <w:rPr>
                <w:rFonts w:cs="Tahoma"/>
                <w:bCs/>
                <w:sz w:val="20"/>
                <w:szCs w:val="20"/>
                <w:lang w:val="en-US"/>
              </w:rPr>
              <w:t>Administrative decision</w:t>
            </w:r>
          </w:p>
          <w:p w14:paraId="3EF94C3E" w14:textId="77777777" w:rsidR="00CF1FB5" w:rsidRDefault="00CF1FB5" w:rsidP="00CF1FB5">
            <w:pPr>
              <w:numPr>
                <w:ilvl w:val="0"/>
                <w:numId w:val="5"/>
              </w:numPr>
              <w:jc w:val="both"/>
              <w:rPr>
                <w:rFonts w:cs="Tahoma"/>
                <w:bCs/>
                <w:sz w:val="20"/>
                <w:szCs w:val="20"/>
                <w:lang w:val="en-US"/>
              </w:rPr>
            </w:pPr>
            <w:r>
              <w:rPr>
                <w:rFonts w:cs="Tahoma"/>
                <w:bCs/>
                <w:sz w:val="20"/>
                <w:szCs w:val="20"/>
                <w:lang w:val="en-US"/>
              </w:rPr>
              <w:t>LEGAL REMEDIES</w:t>
            </w:r>
          </w:p>
          <w:p w14:paraId="7CEEB079" w14:textId="77777777" w:rsidR="00CF1FB5" w:rsidRDefault="00CF1FB5" w:rsidP="00CF1FB5">
            <w:pPr>
              <w:pStyle w:val="tockalevo2"/>
              <w:numPr>
                <w:ilvl w:val="1"/>
                <w:numId w:val="5"/>
              </w:numPr>
              <w:jc w:val="both"/>
              <w:rPr>
                <w:rFonts w:asciiTheme="minorHAnsi" w:hAnsiTheme="minorHAnsi" w:cstheme="minorHAnsi"/>
                <w:bCs/>
                <w:sz w:val="20"/>
                <w:lang w:val="en-US"/>
              </w:rPr>
            </w:pPr>
            <w:r w:rsidRPr="00255283">
              <w:rPr>
                <w:rFonts w:asciiTheme="minorHAnsi" w:hAnsiTheme="minorHAnsi" w:cstheme="minorHAnsi"/>
                <w:sz w:val="20"/>
                <w:lang w:val="en-US"/>
              </w:rPr>
              <w:t>Re</w:t>
            </w:r>
            <w:r w:rsidRPr="00255283">
              <w:rPr>
                <w:rFonts w:asciiTheme="minorHAnsi" w:hAnsiTheme="minorHAnsi" w:cstheme="minorHAnsi"/>
                <w:bCs/>
                <w:sz w:val="20"/>
                <w:lang w:val="en-US"/>
              </w:rPr>
              <w:t>gular and extraordinary legal remedies</w:t>
            </w:r>
          </w:p>
          <w:p w14:paraId="6BF51CDF" w14:textId="77777777" w:rsidR="00CF1FB5" w:rsidRPr="009B6CB2" w:rsidRDefault="00CF1FB5" w:rsidP="00CF1FB5">
            <w:pPr>
              <w:pStyle w:val="tockalevo2"/>
              <w:numPr>
                <w:ilvl w:val="1"/>
                <w:numId w:val="5"/>
              </w:numPr>
              <w:jc w:val="both"/>
              <w:rPr>
                <w:rStyle w:val="tlid-translation"/>
                <w:rFonts w:asciiTheme="minorHAnsi" w:hAnsiTheme="minorHAnsi" w:cstheme="minorHAnsi"/>
                <w:bCs/>
                <w:sz w:val="20"/>
                <w:lang w:val="en-GB"/>
              </w:rPr>
            </w:pPr>
            <w:r w:rsidRPr="009B6CB2">
              <w:rPr>
                <w:rStyle w:val="tlid-translation"/>
                <w:rFonts w:asciiTheme="minorHAnsi" w:hAnsiTheme="minorHAnsi" w:cstheme="minorHAnsi"/>
                <w:sz w:val="20"/>
                <w:lang w:val="en-GB"/>
              </w:rPr>
              <w:t>Legal effect of the remedy on the issued administrative act</w:t>
            </w:r>
          </w:p>
          <w:p w14:paraId="35618E39" w14:textId="77777777" w:rsidR="00CF1FB5" w:rsidRDefault="00CF1FB5" w:rsidP="00CF1FB5">
            <w:pPr>
              <w:pStyle w:val="tockalevo2"/>
              <w:numPr>
                <w:ilvl w:val="1"/>
                <w:numId w:val="5"/>
              </w:numPr>
              <w:jc w:val="both"/>
              <w:rPr>
                <w:rFonts w:asciiTheme="minorHAnsi" w:hAnsiTheme="minorHAnsi" w:cstheme="minorHAnsi"/>
                <w:bCs/>
                <w:sz w:val="20"/>
                <w:lang w:val="en-US"/>
              </w:rPr>
            </w:pPr>
            <w:r>
              <w:rPr>
                <w:rFonts w:asciiTheme="minorHAnsi" w:hAnsiTheme="minorHAnsi" w:cstheme="minorHAnsi"/>
                <w:bCs/>
                <w:sz w:val="20"/>
                <w:lang w:val="en-US"/>
              </w:rPr>
              <w:t>Appeal</w:t>
            </w:r>
          </w:p>
          <w:p w14:paraId="7A99FA3E" w14:textId="77777777" w:rsidR="00CF1FB5" w:rsidRDefault="00CF1FB5" w:rsidP="00CF1FB5">
            <w:pPr>
              <w:pStyle w:val="tockalevo2"/>
              <w:numPr>
                <w:ilvl w:val="1"/>
                <w:numId w:val="5"/>
              </w:numPr>
              <w:jc w:val="both"/>
              <w:rPr>
                <w:rFonts w:asciiTheme="minorHAnsi" w:hAnsiTheme="minorHAnsi" w:cstheme="minorHAnsi"/>
                <w:bCs/>
                <w:sz w:val="20"/>
                <w:lang w:val="en-US"/>
              </w:rPr>
            </w:pPr>
            <w:r>
              <w:rPr>
                <w:rFonts w:asciiTheme="minorHAnsi" w:hAnsiTheme="minorHAnsi" w:cstheme="minorHAnsi"/>
                <w:bCs/>
                <w:sz w:val="20"/>
                <w:lang w:val="en-US"/>
              </w:rPr>
              <w:t>Extraordinary legal remedies</w:t>
            </w:r>
          </w:p>
          <w:p w14:paraId="00221F0E" w14:textId="77777777" w:rsidR="00CF1FB5" w:rsidRDefault="00CF1FB5" w:rsidP="00CF1FB5">
            <w:pPr>
              <w:pStyle w:val="tockalevo2"/>
              <w:numPr>
                <w:ilvl w:val="0"/>
                <w:numId w:val="5"/>
              </w:numPr>
              <w:jc w:val="both"/>
              <w:rPr>
                <w:rFonts w:asciiTheme="minorHAnsi" w:hAnsiTheme="minorHAnsi" w:cstheme="minorHAnsi"/>
                <w:bCs/>
                <w:sz w:val="20"/>
                <w:lang w:val="en-US"/>
              </w:rPr>
            </w:pPr>
            <w:r>
              <w:rPr>
                <w:rFonts w:asciiTheme="minorHAnsi" w:hAnsiTheme="minorHAnsi" w:cstheme="minorHAnsi"/>
                <w:bCs/>
                <w:sz w:val="20"/>
                <w:lang w:val="en-US"/>
              </w:rPr>
              <w:t>ENFORCEMENT</w:t>
            </w:r>
          </w:p>
          <w:p w14:paraId="380DF962" w14:textId="77777777" w:rsidR="00CF1FB5" w:rsidRDefault="00CF1FB5" w:rsidP="00CF1FB5">
            <w:pPr>
              <w:pStyle w:val="tockalevo2"/>
              <w:numPr>
                <w:ilvl w:val="0"/>
                <w:numId w:val="5"/>
              </w:numPr>
              <w:jc w:val="both"/>
              <w:rPr>
                <w:rFonts w:asciiTheme="minorHAnsi" w:hAnsiTheme="minorHAnsi" w:cstheme="minorHAnsi"/>
                <w:bCs/>
                <w:sz w:val="20"/>
                <w:lang w:val="en-US"/>
              </w:rPr>
            </w:pPr>
            <w:r>
              <w:rPr>
                <w:rFonts w:asciiTheme="minorHAnsi" w:hAnsiTheme="minorHAnsi" w:cstheme="minorHAnsi"/>
                <w:bCs/>
                <w:sz w:val="20"/>
                <w:lang w:val="en-US"/>
              </w:rPr>
              <w:t>ADMINISTRATIVE DISPUTE</w:t>
            </w:r>
          </w:p>
          <w:p w14:paraId="0B24FF45" w14:textId="77777777" w:rsidR="00CF1FB5" w:rsidRPr="00916698" w:rsidRDefault="00CF1FB5" w:rsidP="00CF1FB5">
            <w:pPr>
              <w:numPr>
                <w:ilvl w:val="1"/>
                <w:numId w:val="5"/>
              </w:numPr>
              <w:jc w:val="both"/>
              <w:rPr>
                <w:rStyle w:val="tlid-translation"/>
                <w:rFonts w:cs="Tahoma"/>
                <w:sz w:val="20"/>
                <w:szCs w:val="20"/>
                <w:lang w:val="en-GB"/>
              </w:rPr>
            </w:pPr>
            <w:r w:rsidRPr="00916698">
              <w:rPr>
                <w:rStyle w:val="tlid-translation"/>
                <w:sz w:val="20"/>
                <w:szCs w:val="20"/>
                <w:lang w:val="en-GB"/>
              </w:rPr>
              <w:t xml:space="preserve">The theory of judicial </w:t>
            </w:r>
            <w:r>
              <w:rPr>
                <w:rStyle w:val="tlid-translation"/>
                <w:sz w:val="20"/>
                <w:szCs w:val="20"/>
                <w:lang w:val="en-GB"/>
              </w:rPr>
              <w:t>supervision</w:t>
            </w:r>
            <w:r w:rsidRPr="00916698">
              <w:rPr>
                <w:rStyle w:val="tlid-translation"/>
                <w:sz w:val="20"/>
                <w:szCs w:val="20"/>
                <w:lang w:val="en-GB"/>
              </w:rPr>
              <w:t xml:space="preserve"> of </w:t>
            </w:r>
            <w:r>
              <w:rPr>
                <w:rStyle w:val="tlid-translation"/>
                <w:sz w:val="20"/>
                <w:szCs w:val="20"/>
                <w:lang w:val="en-GB"/>
              </w:rPr>
              <w:t xml:space="preserve">the </w:t>
            </w:r>
            <w:r w:rsidRPr="00916698">
              <w:rPr>
                <w:rStyle w:val="tlid-translation"/>
                <w:sz w:val="20"/>
                <w:szCs w:val="20"/>
                <w:lang w:val="en-GB"/>
              </w:rPr>
              <w:t>administration</w:t>
            </w:r>
          </w:p>
          <w:p w14:paraId="2561B3B0" w14:textId="77777777" w:rsidR="00CF1FB5" w:rsidRPr="00896700" w:rsidRDefault="00CF1FB5" w:rsidP="00CF1FB5">
            <w:pPr>
              <w:numPr>
                <w:ilvl w:val="1"/>
                <w:numId w:val="5"/>
              </w:numPr>
              <w:jc w:val="both"/>
              <w:rPr>
                <w:rStyle w:val="tlid-translation"/>
                <w:rFonts w:cs="Tahoma"/>
                <w:sz w:val="20"/>
                <w:szCs w:val="20"/>
                <w:lang w:val="en-US"/>
              </w:rPr>
            </w:pPr>
            <w:r>
              <w:rPr>
                <w:rStyle w:val="tlid-translation"/>
                <w:sz w:val="20"/>
                <w:szCs w:val="20"/>
              </w:rPr>
              <w:t>What is an administrative dispute</w:t>
            </w:r>
          </w:p>
          <w:p w14:paraId="30373491" w14:textId="77777777" w:rsidR="00CF1FB5" w:rsidRPr="00896700" w:rsidRDefault="00CF1FB5" w:rsidP="00CF1FB5">
            <w:pPr>
              <w:numPr>
                <w:ilvl w:val="1"/>
                <w:numId w:val="5"/>
              </w:numPr>
              <w:jc w:val="both"/>
              <w:rPr>
                <w:rStyle w:val="tlid-translation"/>
                <w:rFonts w:cs="Tahoma"/>
                <w:sz w:val="20"/>
                <w:szCs w:val="20"/>
                <w:lang w:val="en-US"/>
              </w:rPr>
            </w:pPr>
            <w:r w:rsidRPr="00896700">
              <w:rPr>
                <w:rStyle w:val="tlid-translation"/>
                <w:sz w:val="20"/>
                <w:szCs w:val="20"/>
              </w:rPr>
              <w:t>Types of administrative dispute</w:t>
            </w:r>
          </w:p>
          <w:p w14:paraId="50E8590B" w14:textId="77777777" w:rsidR="00CF1FB5" w:rsidRPr="00896700" w:rsidRDefault="00CF1FB5" w:rsidP="00CF1FB5">
            <w:pPr>
              <w:numPr>
                <w:ilvl w:val="1"/>
                <w:numId w:val="5"/>
              </w:numPr>
              <w:jc w:val="both"/>
              <w:rPr>
                <w:rStyle w:val="tlid-translation"/>
                <w:rFonts w:cs="Tahoma"/>
                <w:sz w:val="20"/>
                <w:szCs w:val="20"/>
                <w:lang w:val="en-US"/>
              </w:rPr>
            </w:pPr>
            <w:r w:rsidRPr="00896700">
              <w:rPr>
                <w:rStyle w:val="tlid-translation"/>
                <w:sz w:val="20"/>
                <w:szCs w:val="20"/>
              </w:rPr>
              <w:t>Historical overview</w:t>
            </w:r>
          </w:p>
          <w:p w14:paraId="7CACE7F0" w14:textId="77777777" w:rsidR="00CF1FB5" w:rsidRPr="00896700" w:rsidRDefault="00CF1FB5" w:rsidP="00CF1FB5">
            <w:pPr>
              <w:numPr>
                <w:ilvl w:val="1"/>
                <w:numId w:val="5"/>
              </w:numPr>
              <w:jc w:val="both"/>
              <w:rPr>
                <w:rStyle w:val="tlid-translation"/>
                <w:rFonts w:cs="Tahoma"/>
                <w:sz w:val="20"/>
                <w:szCs w:val="20"/>
                <w:lang w:val="en-US"/>
              </w:rPr>
            </w:pPr>
            <w:r>
              <w:rPr>
                <w:rStyle w:val="tlid-translation"/>
                <w:sz w:val="20"/>
                <w:szCs w:val="20"/>
              </w:rPr>
              <w:t>Compa</w:t>
            </w:r>
            <w:r w:rsidRPr="00896700">
              <w:rPr>
                <w:rStyle w:val="tlid-translation"/>
                <w:sz w:val="20"/>
                <w:szCs w:val="20"/>
              </w:rPr>
              <w:t>rative overview</w:t>
            </w:r>
          </w:p>
          <w:p w14:paraId="104AE670" w14:textId="77777777" w:rsidR="00CF1FB5" w:rsidRPr="00896700" w:rsidRDefault="00CF1FB5" w:rsidP="00CF1FB5">
            <w:pPr>
              <w:numPr>
                <w:ilvl w:val="1"/>
                <w:numId w:val="5"/>
              </w:numPr>
              <w:jc w:val="both"/>
              <w:rPr>
                <w:rStyle w:val="tlid-translation"/>
                <w:rFonts w:cs="Tahoma"/>
                <w:sz w:val="20"/>
                <w:szCs w:val="20"/>
                <w:lang w:val="en-US"/>
              </w:rPr>
            </w:pPr>
            <w:r w:rsidRPr="00896700">
              <w:rPr>
                <w:rStyle w:val="tlid-translation"/>
                <w:sz w:val="20"/>
                <w:szCs w:val="20"/>
              </w:rPr>
              <w:t>Characteristics of our administrative dispute</w:t>
            </w:r>
          </w:p>
          <w:p w14:paraId="24772118" w14:textId="77777777" w:rsidR="00CF1FB5" w:rsidRDefault="00CF1FB5" w:rsidP="00CF1FB5">
            <w:pPr>
              <w:numPr>
                <w:ilvl w:val="0"/>
                <w:numId w:val="5"/>
              </w:numPr>
              <w:jc w:val="both"/>
              <w:rPr>
                <w:rFonts w:cs="Tahoma"/>
                <w:sz w:val="20"/>
                <w:szCs w:val="20"/>
                <w:lang w:val="en-US"/>
              </w:rPr>
            </w:pPr>
            <w:r w:rsidRPr="00896700">
              <w:rPr>
                <w:rFonts w:cs="Tahoma"/>
                <w:sz w:val="20"/>
                <w:szCs w:val="20"/>
                <w:lang w:val="en-US"/>
              </w:rPr>
              <w:t>FUNDAMENTAL PRINCIPLES AND SOLUTIONS OF THE PROCEDURE</w:t>
            </w:r>
          </w:p>
          <w:p w14:paraId="093D575C" w14:textId="77777777" w:rsidR="00CF1FB5" w:rsidRPr="00896700" w:rsidRDefault="00CF1FB5" w:rsidP="00CF1FB5">
            <w:pPr>
              <w:pStyle w:val="Odstavekseznama"/>
              <w:numPr>
                <w:ilvl w:val="1"/>
                <w:numId w:val="5"/>
              </w:numPr>
              <w:jc w:val="both"/>
              <w:rPr>
                <w:rFonts w:cs="Tahoma"/>
                <w:sz w:val="20"/>
                <w:szCs w:val="20"/>
                <w:lang w:val="en-US"/>
              </w:rPr>
            </w:pPr>
            <w:r>
              <w:rPr>
                <w:rFonts w:eastAsia="Times New Roman" w:cs="Tahoma"/>
                <w:bCs/>
                <w:sz w:val="20"/>
                <w:szCs w:val="20"/>
                <w:lang w:val="en-US"/>
              </w:rPr>
              <w:t xml:space="preserve">Courts and </w:t>
            </w:r>
            <w:r w:rsidRPr="00896700">
              <w:rPr>
                <w:rFonts w:eastAsia="Times New Roman" w:cs="Tahoma"/>
                <w:bCs/>
                <w:sz w:val="20"/>
                <w:szCs w:val="20"/>
                <w:lang w:val="en-US"/>
              </w:rPr>
              <w:t>general</w:t>
            </w:r>
            <w:r>
              <w:rPr>
                <w:rFonts w:eastAsia="Times New Roman" w:cs="Tahoma"/>
                <w:bCs/>
                <w:sz w:val="20"/>
                <w:szCs w:val="20"/>
                <w:lang w:val="en-US"/>
              </w:rPr>
              <w:t xml:space="preserve"> characteristics of  proceeding</w:t>
            </w:r>
          </w:p>
          <w:p w14:paraId="114D1C66" w14:textId="77777777" w:rsidR="00CF1FB5" w:rsidRPr="00896700" w:rsidRDefault="00CF1FB5" w:rsidP="00CF1FB5">
            <w:pPr>
              <w:pStyle w:val="Odstavekseznama"/>
              <w:numPr>
                <w:ilvl w:val="1"/>
                <w:numId w:val="5"/>
              </w:numPr>
              <w:jc w:val="both"/>
              <w:rPr>
                <w:rStyle w:val="tlid-translation"/>
                <w:rFonts w:cs="Tahoma"/>
                <w:sz w:val="20"/>
                <w:szCs w:val="20"/>
                <w:lang w:val="en-US"/>
              </w:rPr>
            </w:pPr>
            <w:r w:rsidRPr="009B6CB2">
              <w:rPr>
                <w:rStyle w:val="tlid-translation"/>
                <w:sz w:val="20"/>
                <w:szCs w:val="20"/>
                <w:lang w:val="en-GB"/>
              </w:rPr>
              <w:lastRenderedPageBreak/>
              <w:t xml:space="preserve">Participants </w:t>
            </w:r>
            <w:r>
              <w:rPr>
                <w:rStyle w:val="tlid-translation"/>
                <w:sz w:val="20"/>
                <w:szCs w:val="20"/>
              </w:rPr>
              <w:t>in</w:t>
            </w:r>
            <w:r w:rsidRPr="00896700">
              <w:rPr>
                <w:rStyle w:val="tlid-translation"/>
                <w:sz w:val="20"/>
                <w:szCs w:val="20"/>
              </w:rPr>
              <w:t xml:space="preserve"> administrative procedure</w:t>
            </w:r>
          </w:p>
          <w:p w14:paraId="56471C77" w14:textId="77777777" w:rsidR="00CF1FB5" w:rsidRPr="000B58FF" w:rsidRDefault="00CF1FB5" w:rsidP="00CF1FB5">
            <w:pPr>
              <w:pStyle w:val="Odstavekseznama"/>
              <w:numPr>
                <w:ilvl w:val="1"/>
                <w:numId w:val="5"/>
              </w:numPr>
              <w:jc w:val="both"/>
              <w:rPr>
                <w:rFonts w:cs="Tahoma"/>
                <w:sz w:val="20"/>
                <w:szCs w:val="20"/>
                <w:lang w:val="en-US"/>
              </w:rPr>
            </w:pPr>
            <w:r w:rsidRPr="000B58FF">
              <w:rPr>
                <w:rFonts w:cs="Tahoma"/>
                <w:sz w:val="20"/>
                <w:szCs w:val="20"/>
                <w:lang w:val="en-US"/>
              </w:rPr>
              <w:t>The action procedure</w:t>
            </w:r>
          </w:p>
          <w:p w14:paraId="011BEFE7" w14:textId="77777777" w:rsidR="00CF1FB5" w:rsidRPr="000B58FF" w:rsidRDefault="00CF1FB5" w:rsidP="00CF1FB5">
            <w:pPr>
              <w:pStyle w:val="Odstavekseznama"/>
              <w:numPr>
                <w:ilvl w:val="1"/>
                <w:numId w:val="5"/>
              </w:numPr>
              <w:jc w:val="both"/>
              <w:rPr>
                <w:rFonts w:cs="Tahoma"/>
                <w:sz w:val="20"/>
                <w:szCs w:val="20"/>
                <w:lang w:val="en-US"/>
              </w:rPr>
            </w:pPr>
            <w:r w:rsidRPr="000B58FF">
              <w:rPr>
                <w:sz w:val="20"/>
                <w:szCs w:val="20"/>
                <w:lang w:val="en-GB"/>
              </w:rPr>
              <w:t>Interim injunction</w:t>
            </w:r>
          </w:p>
          <w:p w14:paraId="27CF2F43" w14:textId="77777777" w:rsidR="00CF1FB5" w:rsidRPr="000B58FF" w:rsidRDefault="00CF1FB5" w:rsidP="00CF1FB5">
            <w:pPr>
              <w:pStyle w:val="tockalevo2"/>
              <w:numPr>
                <w:ilvl w:val="1"/>
                <w:numId w:val="5"/>
              </w:numPr>
              <w:jc w:val="both"/>
              <w:rPr>
                <w:rFonts w:asciiTheme="minorHAnsi" w:hAnsiTheme="minorHAnsi" w:cstheme="minorHAnsi"/>
                <w:bCs/>
                <w:sz w:val="20"/>
                <w:lang w:val="en-US"/>
              </w:rPr>
            </w:pPr>
            <w:r w:rsidRPr="000B58FF">
              <w:rPr>
                <w:rFonts w:ascii="Calibri" w:eastAsia="Calibri" w:hAnsi="Calibri" w:cs="Tahoma"/>
                <w:sz w:val="20"/>
                <w:lang w:val="en-US"/>
              </w:rPr>
              <w:t>Decision-making of the first-instance court</w:t>
            </w:r>
          </w:p>
          <w:p w14:paraId="5254D59D" w14:textId="77777777" w:rsidR="00CF1FB5" w:rsidRPr="000B58FF" w:rsidRDefault="00CF1FB5" w:rsidP="00CF1FB5">
            <w:pPr>
              <w:pStyle w:val="tockalevo2"/>
              <w:numPr>
                <w:ilvl w:val="1"/>
                <w:numId w:val="5"/>
              </w:numPr>
              <w:jc w:val="both"/>
              <w:rPr>
                <w:rStyle w:val="tlid-translation"/>
                <w:rFonts w:asciiTheme="minorHAnsi" w:hAnsiTheme="minorHAnsi" w:cstheme="minorHAnsi"/>
                <w:bCs/>
                <w:sz w:val="20"/>
                <w:lang w:val="en-US"/>
              </w:rPr>
            </w:pPr>
            <w:r w:rsidRPr="000B58FF">
              <w:rPr>
                <w:rStyle w:val="tlid-translation"/>
                <w:rFonts w:asciiTheme="minorHAnsi" w:hAnsiTheme="minorHAnsi" w:cstheme="minorHAnsi"/>
                <w:sz w:val="20"/>
              </w:rPr>
              <w:t>Decision-making at the main hearing and session</w:t>
            </w:r>
          </w:p>
          <w:p w14:paraId="1B93B6D3" w14:textId="77777777" w:rsidR="00CF1FB5" w:rsidRPr="000B58FF" w:rsidRDefault="00CF1FB5" w:rsidP="00CF1FB5">
            <w:pPr>
              <w:pStyle w:val="tockalevo2"/>
              <w:numPr>
                <w:ilvl w:val="1"/>
                <w:numId w:val="5"/>
              </w:numPr>
              <w:jc w:val="both"/>
              <w:rPr>
                <w:rFonts w:asciiTheme="minorHAnsi" w:hAnsiTheme="minorHAnsi" w:cstheme="minorHAnsi"/>
                <w:bCs/>
                <w:sz w:val="20"/>
                <w:lang w:val="en-US"/>
              </w:rPr>
            </w:pPr>
            <w:r w:rsidRPr="000B58FF">
              <w:rPr>
                <w:rFonts w:asciiTheme="minorHAnsi" w:hAnsiTheme="minorHAnsi" w:cstheme="minorHAnsi"/>
                <w:bCs/>
                <w:sz w:val="20"/>
                <w:lang w:val="en-US"/>
              </w:rPr>
              <w:t>Decision-making powers of the court</w:t>
            </w:r>
          </w:p>
          <w:p w14:paraId="0CD98317" w14:textId="77777777" w:rsidR="00CF1FB5" w:rsidRPr="000B58FF" w:rsidRDefault="00CF1FB5" w:rsidP="00CF1FB5">
            <w:pPr>
              <w:pStyle w:val="tockalevo2"/>
              <w:numPr>
                <w:ilvl w:val="1"/>
                <w:numId w:val="5"/>
              </w:numPr>
              <w:jc w:val="both"/>
              <w:rPr>
                <w:rFonts w:asciiTheme="minorHAnsi" w:hAnsiTheme="minorHAnsi" w:cstheme="minorHAnsi"/>
                <w:bCs/>
                <w:sz w:val="20"/>
                <w:lang w:val="en-US"/>
              </w:rPr>
            </w:pPr>
            <w:r w:rsidRPr="000B58FF">
              <w:rPr>
                <w:rFonts w:asciiTheme="minorHAnsi" w:hAnsiTheme="minorHAnsi" w:cstheme="minorHAnsi"/>
                <w:bCs/>
                <w:sz w:val="20"/>
                <w:lang w:val="en-US"/>
              </w:rPr>
              <w:t>Appeal</w:t>
            </w:r>
          </w:p>
          <w:p w14:paraId="0F86B2F2" w14:textId="77777777" w:rsidR="00CF1FB5" w:rsidRPr="00A803FF" w:rsidRDefault="00CF1FB5" w:rsidP="00CF1FB5">
            <w:pPr>
              <w:pStyle w:val="tockalevo2"/>
              <w:numPr>
                <w:ilvl w:val="1"/>
                <w:numId w:val="5"/>
              </w:numPr>
              <w:jc w:val="both"/>
              <w:rPr>
                <w:rStyle w:val="tlid-translation"/>
                <w:rFonts w:asciiTheme="minorHAnsi" w:hAnsiTheme="minorHAnsi" w:cstheme="minorHAnsi"/>
                <w:bCs/>
                <w:sz w:val="20"/>
                <w:lang w:val="en-US"/>
              </w:rPr>
            </w:pPr>
            <w:r>
              <w:rPr>
                <w:rFonts w:asciiTheme="minorHAnsi" w:hAnsiTheme="minorHAnsi" w:cstheme="minorHAnsi"/>
                <w:bCs/>
                <w:sz w:val="20"/>
                <w:lang w:val="en-US"/>
              </w:rPr>
              <w:t>Extraordinary legal remedies</w:t>
            </w:r>
          </w:p>
          <w:p w14:paraId="3D8B9A1F" w14:textId="77777777" w:rsidR="00CF1FB5" w:rsidRPr="00D165CF" w:rsidRDefault="00CF1FB5" w:rsidP="00CF1FB5">
            <w:pPr>
              <w:pStyle w:val="tockalevo2"/>
              <w:ind w:left="792" w:firstLine="0"/>
              <w:rPr>
                <w:rFonts w:asciiTheme="minorHAnsi" w:hAnsiTheme="minorHAnsi" w:cstheme="minorHAnsi"/>
                <w:b/>
                <w:sz w:val="20"/>
                <w:lang w:val="en-US"/>
              </w:rPr>
            </w:pPr>
          </w:p>
        </w:tc>
      </w:tr>
    </w:tbl>
    <w:p w14:paraId="538AF8FF" w14:textId="77777777" w:rsidR="00CE4BC9" w:rsidRPr="008B58EB" w:rsidRDefault="00CE4BC9" w:rsidP="00CE4BC9">
      <w:pPr>
        <w:rPr>
          <w:rFonts w:cs="Calibri"/>
          <w:sz w:val="20"/>
          <w:szCs w:val="20"/>
        </w:rPr>
      </w:pPr>
    </w:p>
    <w:tbl>
      <w:tblPr>
        <w:tblW w:w="9634" w:type="dxa"/>
        <w:tblInd w:w="56" w:type="dxa"/>
        <w:tblLayout w:type="fixed"/>
        <w:tblCellMar>
          <w:left w:w="56" w:type="dxa"/>
          <w:right w:w="56" w:type="dxa"/>
        </w:tblCellMar>
        <w:tblLook w:val="00A0" w:firstRow="1" w:lastRow="0" w:firstColumn="1" w:lastColumn="0" w:noHBand="0" w:noVBand="0"/>
      </w:tblPr>
      <w:tblGrid>
        <w:gridCol w:w="3964"/>
        <w:gridCol w:w="697"/>
        <w:gridCol w:w="10"/>
        <w:gridCol w:w="142"/>
        <w:gridCol w:w="711"/>
        <w:gridCol w:w="4110"/>
      </w:tblGrid>
      <w:tr w:rsidR="00CE4BC9" w:rsidRPr="008B58EB" w14:paraId="48D0B28C" w14:textId="77777777" w:rsidTr="002C0D46">
        <w:tc>
          <w:tcPr>
            <w:tcW w:w="9634" w:type="dxa"/>
            <w:gridSpan w:val="6"/>
          </w:tcPr>
          <w:p w14:paraId="157F1EE3" w14:textId="77777777" w:rsidR="00CE4BC9" w:rsidRPr="008B58EB" w:rsidRDefault="00CE4BC9" w:rsidP="00CE4BC9">
            <w:pPr>
              <w:rPr>
                <w:rFonts w:cs="Calibri"/>
                <w:sz w:val="20"/>
                <w:szCs w:val="20"/>
              </w:rPr>
            </w:pPr>
            <w:r w:rsidRPr="008B58EB">
              <w:rPr>
                <w:rFonts w:cs="Calibri"/>
                <w:sz w:val="20"/>
                <w:szCs w:val="20"/>
              </w:rPr>
              <w:br w:type="page"/>
              <w:t xml:space="preserve">Temeljni literatura in viri / </w:t>
            </w:r>
            <w:r w:rsidRPr="00CF1FB5">
              <w:rPr>
                <w:rFonts w:cs="Calibri"/>
                <w:sz w:val="20"/>
                <w:szCs w:val="20"/>
                <w:lang w:val="it-IT"/>
              </w:rPr>
              <w:t>Readings:</w:t>
            </w:r>
          </w:p>
        </w:tc>
      </w:tr>
      <w:tr w:rsidR="00CE4BC9" w:rsidRPr="008B58EB" w14:paraId="760E5C72" w14:textId="77777777" w:rsidTr="002C0D46">
        <w:trPr>
          <w:trHeight w:val="73"/>
        </w:trPr>
        <w:tc>
          <w:tcPr>
            <w:tcW w:w="4661" w:type="dxa"/>
            <w:gridSpan w:val="2"/>
            <w:tcBorders>
              <w:top w:val="nil"/>
              <w:left w:val="nil"/>
              <w:bottom w:val="single" w:sz="4" w:space="0" w:color="auto"/>
              <w:right w:val="nil"/>
            </w:tcBorders>
          </w:tcPr>
          <w:p w14:paraId="7A0CA8A0" w14:textId="77777777" w:rsidR="00CE4BC9" w:rsidRPr="008B58EB" w:rsidRDefault="00CE4BC9" w:rsidP="00CE4BC9">
            <w:pPr>
              <w:rPr>
                <w:rFonts w:cs="Calibri"/>
                <w:bCs/>
                <w:sz w:val="20"/>
                <w:szCs w:val="20"/>
              </w:rPr>
            </w:pPr>
            <w:bookmarkStart w:id="6" w:name="Ucbeniki"/>
            <w:bookmarkEnd w:id="6"/>
          </w:p>
          <w:p w14:paraId="52ADF0DE" w14:textId="77777777" w:rsidR="00CE4BC9" w:rsidRPr="008B58EB" w:rsidRDefault="00CE4BC9" w:rsidP="00CE4BC9">
            <w:pPr>
              <w:rPr>
                <w:rFonts w:cs="Calibri"/>
                <w:sz w:val="20"/>
                <w:szCs w:val="20"/>
              </w:rPr>
            </w:pPr>
            <w:r w:rsidRPr="008B58EB">
              <w:rPr>
                <w:rFonts w:cs="Calibri"/>
                <w:sz w:val="20"/>
                <w:szCs w:val="20"/>
              </w:rPr>
              <w:t>Cilji in kompetence:</w:t>
            </w:r>
          </w:p>
        </w:tc>
        <w:tc>
          <w:tcPr>
            <w:tcW w:w="152" w:type="dxa"/>
            <w:gridSpan w:val="2"/>
          </w:tcPr>
          <w:p w14:paraId="75FE6078" w14:textId="77777777" w:rsidR="00CE4BC9" w:rsidRPr="008B58EB" w:rsidRDefault="00CE4BC9" w:rsidP="00CE4BC9">
            <w:pPr>
              <w:rPr>
                <w:rFonts w:cs="Calibri"/>
                <w:sz w:val="20"/>
                <w:szCs w:val="20"/>
              </w:rPr>
            </w:pPr>
          </w:p>
        </w:tc>
        <w:tc>
          <w:tcPr>
            <w:tcW w:w="4821" w:type="dxa"/>
            <w:gridSpan w:val="2"/>
            <w:tcBorders>
              <w:top w:val="nil"/>
              <w:left w:val="nil"/>
              <w:bottom w:val="single" w:sz="4" w:space="0" w:color="auto"/>
              <w:right w:val="nil"/>
            </w:tcBorders>
          </w:tcPr>
          <w:p w14:paraId="3AC7C40B" w14:textId="77777777" w:rsidR="00CE4BC9" w:rsidRPr="008B58EB" w:rsidRDefault="00CE4BC9" w:rsidP="00CE4BC9">
            <w:pPr>
              <w:rPr>
                <w:rFonts w:cs="Calibri"/>
                <w:sz w:val="20"/>
                <w:szCs w:val="20"/>
              </w:rPr>
            </w:pPr>
          </w:p>
          <w:p w14:paraId="1CB8BBEE" w14:textId="77777777" w:rsidR="00CE4BC9" w:rsidRPr="008B58EB" w:rsidRDefault="00CE4BC9" w:rsidP="00CE4BC9">
            <w:pPr>
              <w:rPr>
                <w:rFonts w:cs="Calibri"/>
                <w:sz w:val="20"/>
                <w:szCs w:val="20"/>
              </w:rPr>
            </w:pPr>
            <w:r w:rsidRPr="008B58EB">
              <w:rPr>
                <w:rFonts w:cs="Calibri"/>
                <w:sz w:val="20"/>
                <w:szCs w:val="20"/>
                <w:lang w:val="en-GB"/>
              </w:rPr>
              <w:t>Objectives and competences</w:t>
            </w:r>
            <w:r w:rsidRPr="008B58EB">
              <w:rPr>
                <w:rFonts w:cs="Calibri"/>
                <w:sz w:val="20"/>
                <w:szCs w:val="20"/>
              </w:rPr>
              <w:t>:</w:t>
            </w:r>
          </w:p>
        </w:tc>
      </w:tr>
      <w:tr w:rsidR="00CE4BC9" w:rsidRPr="008B58EB" w14:paraId="234A3DE9" w14:textId="77777777" w:rsidTr="002C0D46">
        <w:trPr>
          <w:trHeight w:val="1838"/>
        </w:trPr>
        <w:tc>
          <w:tcPr>
            <w:tcW w:w="4661" w:type="dxa"/>
            <w:gridSpan w:val="2"/>
            <w:tcBorders>
              <w:top w:val="single" w:sz="4" w:space="0" w:color="auto"/>
              <w:left w:val="single" w:sz="4" w:space="0" w:color="auto"/>
              <w:bottom w:val="single" w:sz="4" w:space="0" w:color="auto"/>
              <w:right w:val="single" w:sz="4" w:space="0" w:color="auto"/>
            </w:tcBorders>
          </w:tcPr>
          <w:p w14:paraId="1FFD6A17" w14:textId="77777777" w:rsidR="00CE4BC9" w:rsidRPr="008B58EB" w:rsidRDefault="00CE4BC9" w:rsidP="007215B6">
            <w:pPr>
              <w:jc w:val="both"/>
              <w:rPr>
                <w:rFonts w:cs="Calibri"/>
                <w:sz w:val="20"/>
                <w:szCs w:val="20"/>
              </w:rPr>
            </w:pPr>
            <w:r w:rsidRPr="008B58EB">
              <w:rPr>
                <w:sz w:val="20"/>
                <w:szCs w:val="20"/>
              </w:rPr>
              <w:t>Cilj predmeta je, da študenti pridobijo pregled na</w:t>
            </w:r>
            <w:r w:rsidR="007968F9">
              <w:rPr>
                <w:sz w:val="20"/>
                <w:szCs w:val="20"/>
              </w:rPr>
              <w:t>d</w:t>
            </w:r>
            <w:r w:rsidRPr="008B58EB">
              <w:rPr>
                <w:sz w:val="20"/>
                <w:szCs w:val="20"/>
              </w:rPr>
              <w:t xml:space="preserve"> teoretičnimi izhodišči ureditve postopka odločanja upravnih organov ter upravnega sodstva ter da se seznanijo s pozitivno pravno ureditvijo tega področja. V okviru predmeta bodo študentje pridobili tudi praktična znanja povezana z opravo posameznih procesnih dejanj ter vsebino aktov, ki se v okviru posameznih faz postopka pripravljajo. Vsebinsko je pomembna povezava med </w:t>
            </w:r>
            <w:r w:rsidRPr="001E1BDB">
              <w:rPr>
                <w:sz w:val="20"/>
                <w:szCs w:val="20"/>
              </w:rPr>
              <w:t>obvladovanjem</w:t>
            </w:r>
            <w:r w:rsidRPr="008B58EB">
              <w:rPr>
                <w:sz w:val="20"/>
                <w:szCs w:val="20"/>
              </w:rPr>
              <w:t xml:space="preserve"> spoznavne materije ter sposobnostjo njene kreativne uporabe za doseganje ustreznih pravnih rezultatov.</w:t>
            </w:r>
          </w:p>
        </w:tc>
        <w:tc>
          <w:tcPr>
            <w:tcW w:w="152" w:type="dxa"/>
            <w:gridSpan w:val="2"/>
            <w:tcBorders>
              <w:top w:val="nil"/>
              <w:left w:val="single" w:sz="4" w:space="0" w:color="auto"/>
              <w:bottom w:val="nil"/>
              <w:right w:val="single" w:sz="4" w:space="0" w:color="auto"/>
            </w:tcBorders>
          </w:tcPr>
          <w:p w14:paraId="57DBC4C1" w14:textId="77777777" w:rsidR="00CE4BC9" w:rsidRPr="008B58EB" w:rsidRDefault="00CE4BC9" w:rsidP="00CE4BC9">
            <w:pPr>
              <w:rPr>
                <w:rFonts w:cs="Calibri"/>
                <w:sz w:val="20"/>
                <w:szCs w:val="20"/>
              </w:rPr>
            </w:pPr>
          </w:p>
        </w:tc>
        <w:tc>
          <w:tcPr>
            <w:tcW w:w="4821" w:type="dxa"/>
            <w:gridSpan w:val="2"/>
            <w:tcBorders>
              <w:top w:val="single" w:sz="4" w:space="0" w:color="auto"/>
              <w:left w:val="single" w:sz="4" w:space="0" w:color="auto"/>
              <w:bottom w:val="single" w:sz="4" w:space="0" w:color="auto"/>
              <w:right w:val="single" w:sz="4" w:space="0" w:color="auto"/>
            </w:tcBorders>
          </w:tcPr>
          <w:p w14:paraId="2517F622" w14:textId="77777777" w:rsidR="00CE4BC9" w:rsidRPr="007215B6" w:rsidRDefault="0003359D" w:rsidP="005E373F">
            <w:pPr>
              <w:jc w:val="both"/>
              <w:rPr>
                <w:rFonts w:cs="Calibri"/>
                <w:sz w:val="20"/>
                <w:szCs w:val="20"/>
                <w:lang w:val="en-GB"/>
              </w:rPr>
            </w:pPr>
            <w:r w:rsidRPr="007215B6">
              <w:rPr>
                <w:rFonts w:cs="Calibri"/>
                <w:sz w:val="20"/>
                <w:szCs w:val="20"/>
                <w:lang w:val="en-GB"/>
              </w:rPr>
              <w:t>The</w:t>
            </w:r>
            <w:r w:rsidR="00281D7B" w:rsidRPr="007215B6">
              <w:rPr>
                <w:rFonts w:cs="Calibri"/>
                <w:sz w:val="20"/>
                <w:szCs w:val="20"/>
                <w:lang w:val="en-GB"/>
              </w:rPr>
              <w:t xml:space="preserve"> </w:t>
            </w:r>
            <w:r w:rsidRPr="007215B6">
              <w:rPr>
                <w:rFonts w:cs="Calibri"/>
                <w:sz w:val="20"/>
                <w:szCs w:val="20"/>
                <w:lang w:val="en-GB"/>
              </w:rPr>
              <w:t>aim</w:t>
            </w:r>
            <w:r w:rsidR="00281D7B" w:rsidRPr="007215B6">
              <w:rPr>
                <w:rFonts w:cs="Calibri"/>
                <w:sz w:val="20"/>
                <w:szCs w:val="20"/>
                <w:lang w:val="en-GB"/>
              </w:rPr>
              <w:t xml:space="preserve"> </w:t>
            </w:r>
            <w:r w:rsidRPr="007215B6">
              <w:rPr>
                <w:rFonts w:cs="Calibri"/>
                <w:sz w:val="20"/>
                <w:szCs w:val="20"/>
                <w:lang w:val="en-GB"/>
              </w:rPr>
              <w:t>of</w:t>
            </w:r>
            <w:r w:rsidR="00281D7B" w:rsidRPr="007215B6">
              <w:rPr>
                <w:rFonts w:cs="Calibri"/>
                <w:sz w:val="20"/>
                <w:szCs w:val="20"/>
                <w:lang w:val="en-GB"/>
              </w:rPr>
              <w:t xml:space="preserve"> </w:t>
            </w:r>
            <w:r w:rsidRPr="007215B6">
              <w:rPr>
                <w:rFonts w:cs="Calibri"/>
                <w:sz w:val="20"/>
                <w:szCs w:val="20"/>
                <w:lang w:val="en-GB"/>
              </w:rPr>
              <w:t>the</w:t>
            </w:r>
            <w:r w:rsidR="00281D7B" w:rsidRPr="007215B6">
              <w:rPr>
                <w:rFonts w:cs="Calibri"/>
                <w:sz w:val="20"/>
                <w:szCs w:val="20"/>
                <w:lang w:val="en-GB"/>
              </w:rPr>
              <w:t xml:space="preserve"> </w:t>
            </w:r>
            <w:r w:rsidR="007215B6">
              <w:rPr>
                <w:rFonts w:cs="Calibri"/>
                <w:sz w:val="20"/>
                <w:szCs w:val="20"/>
                <w:lang w:val="en-GB"/>
              </w:rPr>
              <w:t>course</w:t>
            </w:r>
            <w:r w:rsidRPr="007215B6">
              <w:rPr>
                <w:rFonts w:cs="Calibri"/>
                <w:sz w:val="20"/>
                <w:szCs w:val="20"/>
                <w:lang w:val="en-GB"/>
              </w:rPr>
              <w:t xml:space="preserve"> is to provide</w:t>
            </w:r>
            <w:r w:rsidR="007215B6">
              <w:rPr>
                <w:rFonts w:cs="Calibri"/>
                <w:sz w:val="20"/>
                <w:szCs w:val="20"/>
                <w:lang w:val="en-GB"/>
              </w:rPr>
              <w:t xml:space="preserve"> </w:t>
            </w:r>
            <w:r w:rsidRPr="007215B6">
              <w:rPr>
                <w:rFonts w:cs="Calibri"/>
                <w:sz w:val="20"/>
                <w:szCs w:val="20"/>
                <w:lang w:val="en-GB"/>
              </w:rPr>
              <w:t>students</w:t>
            </w:r>
            <w:r w:rsidR="007215B6">
              <w:rPr>
                <w:rFonts w:cs="Calibri"/>
                <w:sz w:val="20"/>
                <w:szCs w:val="20"/>
                <w:lang w:val="en-GB"/>
              </w:rPr>
              <w:t xml:space="preserve"> </w:t>
            </w:r>
            <w:r w:rsidRPr="007215B6">
              <w:rPr>
                <w:rFonts w:cs="Calibri"/>
                <w:sz w:val="20"/>
                <w:szCs w:val="20"/>
                <w:lang w:val="en-GB"/>
              </w:rPr>
              <w:t>with</w:t>
            </w:r>
            <w:r w:rsidR="007215B6">
              <w:rPr>
                <w:rFonts w:cs="Calibri"/>
                <w:sz w:val="20"/>
                <w:szCs w:val="20"/>
                <w:lang w:val="en-GB"/>
              </w:rPr>
              <w:t xml:space="preserve"> </w:t>
            </w:r>
            <w:r w:rsidRPr="007215B6">
              <w:rPr>
                <w:rFonts w:cs="Calibri"/>
                <w:sz w:val="20"/>
                <w:szCs w:val="20"/>
                <w:lang w:val="en-GB"/>
              </w:rPr>
              <w:t>an</w:t>
            </w:r>
            <w:r w:rsidR="007215B6">
              <w:rPr>
                <w:rFonts w:cs="Calibri"/>
                <w:sz w:val="20"/>
                <w:szCs w:val="20"/>
                <w:lang w:val="en-GB"/>
              </w:rPr>
              <w:t xml:space="preserve"> </w:t>
            </w:r>
            <w:r w:rsidRPr="007215B6">
              <w:rPr>
                <w:rFonts w:cs="Calibri"/>
                <w:sz w:val="20"/>
                <w:szCs w:val="20"/>
                <w:lang w:val="en-GB"/>
              </w:rPr>
              <w:t>overview</w:t>
            </w:r>
            <w:r w:rsidR="007215B6">
              <w:rPr>
                <w:rFonts w:cs="Calibri"/>
                <w:sz w:val="20"/>
                <w:szCs w:val="20"/>
                <w:lang w:val="en-GB"/>
              </w:rPr>
              <w:t xml:space="preserve"> </w:t>
            </w:r>
            <w:r w:rsidR="007968F9">
              <w:rPr>
                <w:rFonts w:cs="Calibri"/>
                <w:sz w:val="20"/>
                <w:szCs w:val="20"/>
                <w:lang w:val="en-GB"/>
              </w:rPr>
              <w:t>of</w:t>
            </w:r>
            <w:r w:rsidR="007215B6">
              <w:rPr>
                <w:rFonts w:cs="Calibri"/>
                <w:sz w:val="20"/>
                <w:szCs w:val="20"/>
                <w:lang w:val="en-GB"/>
              </w:rPr>
              <w:t xml:space="preserve"> </w:t>
            </w:r>
            <w:r w:rsidRPr="007215B6">
              <w:rPr>
                <w:rFonts w:cs="Calibri"/>
                <w:sz w:val="20"/>
                <w:szCs w:val="20"/>
                <w:lang w:val="en-GB"/>
              </w:rPr>
              <w:t>the</w:t>
            </w:r>
            <w:r w:rsidR="007215B6">
              <w:rPr>
                <w:rFonts w:cs="Calibri"/>
                <w:sz w:val="20"/>
                <w:szCs w:val="20"/>
                <w:lang w:val="en-GB"/>
              </w:rPr>
              <w:t xml:space="preserve"> </w:t>
            </w:r>
            <w:r w:rsidRPr="007215B6">
              <w:rPr>
                <w:rFonts w:cs="Calibri"/>
                <w:sz w:val="20"/>
                <w:szCs w:val="20"/>
                <w:lang w:val="en-GB"/>
              </w:rPr>
              <w:t>theoretical</w:t>
            </w:r>
            <w:r w:rsidR="007215B6">
              <w:rPr>
                <w:rFonts w:cs="Calibri"/>
                <w:sz w:val="20"/>
                <w:szCs w:val="20"/>
                <w:lang w:val="en-GB"/>
              </w:rPr>
              <w:t xml:space="preserve"> </w:t>
            </w:r>
            <w:r w:rsidRPr="007215B6">
              <w:rPr>
                <w:rFonts w:cs="Calibri"/>
                <w:sz w:val="20"/>
                <w:szCs w:val="20"/>
                <w:lang w:val="en-GB"/>
              </w:rPr>
              <w:t>starting</w:t>
            </w:r>
            <w:r w:rsidR="007215B6">
              <w:rPr>
                <w:rFonts w:cs="Calibri"/>
                <w:sz w:val="20"/>
                <w:szCs w:val="20"/>
                <w:lang w:val="en-GB"/>
              </w:rPr>
              <w:t xml:space="preserve"> </w:t>
            </w:r>
            <w:r w:rsidRPr="007215B6">
              <w:rPr>
                <w:rFonts w:cs="Calibri"/>
                <w:sz w:val="20"/>
                <w:szCs w:val="20"/>
                <w:lang w:val="en-GB"/>
              </w:rPr>
              <w:t>points</w:t>
            </w:r>
            <w:r w:rsidR="007215B6">
              <w:rPr>
                <w:rFonts w:cs="Calibri"/>
                <w:sz w:val="20"/>
                <w:szCs w:val="20"/>
                <w:lang w:val="en-GB"/>
              </w:rPr>
              <w:t xml:space="preserve"> </w:t>
            </w:r>
            <w:r w:rsidRPr="007215B6">
              <w:rPr>
                <w:rFonts w:cs="Calibri"/>
                <w:sz w:val="20"/>
                <w:szCs w:val="20"/>
                <w:lang w:val="en-GB"/>
              </w:rPr>
              <w:t>of</w:t>
            </w:r>
            <w:r w:rsidR="007215B6">
              <w:rPr>
                <w:rFonts w:cs="Calibri"/>
                <w:sz w:val="20"/>
                <w:szCs w:val="20"/>
                <w:lang w:val="en-GB"/>
              </w:rPr>
              <w:t xml:space="preserve"> </w:t>
            </w:r>
            <w:r w:rsidRPr="007215B6">
              <w:rPr>
                <w:rFonts w:cs="Calibri"/>
                <w:sz w:val="20"/>
                <w:szCs w:val="20"/>
                <w:lang w:val="en-GB"/>
              </w:rPr>
              <w:t>the</w:t>
            </w:r>
            <w:r w:rsidR="007215B6">
              <w:rPr>
                <w:rFonts w:cs="Calibri"/>
                <w:sz w:val="20"/>
                <w:szCs w:val="20"/>
                <w:lang w:val="en-GB"/>
              </w:rPr>
              <w:t xml:space="preserve"> regulation </w:t>
            </w:r>
            <w:r w:rsidRPr="007215B6">
              <w:rPr>
                <w:rFonts w:cs="Calibri"/>
                <w:sz w:val="20"/>
                <w:szCs w:val="20"/>
                <w:lang w:val="en-GB"/>
              </w:rPr>
              <w:t>of</w:t>
            </w:r>
            <w:r w:rsidR="007215B6">
              <w:rPr>
                <w:rFonts w:cs="Calibri"/>
                <w:sz w:val="20"/>
                <w:szCs w:val="20"/>
                <w:lang w:val="en-GB"/>
              </w:rPr>
              <w:t xml:space="preserve"> </w:t>
            </w:r>
            <w:r w:rsidRPr="007215B6">
              <w:rPr>
                <w:rFonts w:cs="Calibri"/>
                <w:sz w:val="20"/>
                <w:szCs w:val="20"/>
                <w:lang w:val="en-GB"/>
              </w:rPr>
              <w:t>the</w:t>
            </w:r>
            <w:r w:rsidR="007215B6">
              <w:rPr>
                <w:rFonts w:cs="Calibri"/>
                <w:sz w:val="20"/>
                <w:szCs w:val="20"/>
                <w:lang w:val="en-GB"/>
              </w:rPr>
              <w:t xml:space="preserve"> </w:t>
            </w:r>
            <w:r w:rsidRPr="007215B6">
              <w:rPr>
                <w:rFonts w:cs="Calibri"/>
                <w:sz w:val="20"/>
                <w:szCs w:val="20"/>
                <w:lang w:val="en-GB"/>
              </w:rPr>
              <w:t>decision-making</w:t>
            </w:r>
            <w:r w:rsidR="007215B6">
              <w:rPr>
                <w:rFonts w:cs="Calibri"/>
                <w:sz w:val="20"/>
                <w:szCs w:val="20"/>
                <w:lang w:val="en-GB"/>
              </w:rPr>
              <w:t xml:space="preserve"> procedure </w:t>
            </w:r>
            <w:r w:rsidRPr="007215B6">
              <w:rPr>
                <w:rFonts w:cs="Calibri"/>
                <w:sz w:val="20"/>
                <w:szCs w:val="20"/>
                <w:lang w:val="en-GB"/>
              </w:rPr>
              <w:t>of administrative bodies</w:t>
            </w:r>
            <w:r w:rsidR="00281D7B" w:rsidRPr="007215B6">
              <w:rPr>
                <w:rFonts w:cs="Calibri"/>
                <w:sz w:val="20"/>
                <w:szCs w:val="20"/>
                <w:lang w:val="en-GB"/>
              </w:rPr>
              <w:t xml:space="preserve"> </w:t>
            </w:r>
            <w:r w:rsidRPr="007215B6">
              <w:rPr>
                <w:rFonts w:cs="Calibri"/>
                <w:sz w:val="20"/>
                <w:szCs w:val="20"/>
                <w:lang w:val="en-GB"/>
              </w:rPr>
              <w:t>and administrative judiciary</w:t>
            </w:r>
            <w:r w:rsidR="00281D7B" w:rsidRPr="007215B6">
              <w:rPr>
                <w:rFonts w:cs="Calibri"/>
                <w:sz w:val="20"/>
                <w:szCs w:val="20"/>
                <w:lang w:val="en-GB"/>
              </w:rPr>
              <w:t xml:space="preserve"> </w:t>
            </w:r>
            <w:r w:rsidR="0027440B" w:rsidRPr="007215B6">
              <w:rPr>
                <w:rFonts w:cs="Calibri"/>
                <w:sz w:val="20"/>
                <w:szCs w:val="20"/>
                <w:lang w:val="en-GB"/>
              </w:rPr>
              <w:t xml:space="preserve">and </w:t>
            </w:r>
            <w:r w:rsidR="00340C1A">
              <w:rPr>
                <w:rFonts w:cs="Calibri"/>
                <w:sz w:val="20"/>
                <w:szCs w:val="20"/>
                <w:lang w:val="en-GB"/>
              </w:rPr>
              <w:t xml:space="preserve">with </w:t>
            </w:r>
            <w:r w:rsidR="0027440B" w:rsidRPr="007215B6">
              <w:rPr>
                <w:rFonts w:cs="Calibri"/>
                <w:sz w:val="20"/>
                <w:szCs w:val="20"/>
                <w:lang w:val="en-GB"/>
              </w:rPr>
              <w:t>the</w:t>
            </w:r>
            <w:r w:rsidR="00281D7B" w:rsidRPr="007215B6">
              <w:rPr>
                <w:rFonts w:cs="Calibri"/>
                <w:sz w:val="20"/>
                <w:szCs w:val="20"/>
                <w:lang w:val="en-GB"/>
              </w:rPr>
              <w:t xml:space="preserve"> </w:t>
            </w:r>
            <w:r w:rsidR="0027440B" w:rsidRPr="007215B6">
              <w:rPr>
                <w:rFonts w:cs="Calibri"/>
                <w:sz w:val="20"/>
                <w:szCs w:val="20"/>
                <w:lang w:val="en-GB"/>
              </w:rPr>
              <w:t>positive legal regulation</w:t>
            </w:r>
            <w:r w:rsidR="00281D7B" w:rsidRPr="007215B6">
              <w:rPr>
                <w:rFonts w:cs="Calibri"/>
                <w:sz w:val="20"/>
                <w:szCs w:val="20"/>
                <w:lang w:val="en-GB"/>
              </w:rPr>
              <w:t xml:space="preserve"> </w:t>
            </w:r>
            <w:r w:rsidR="0027440B" w:rsidRPr="007215B6">
              <w:rPr>
                <w:rFonts w:cs="Calibri"/>
                <w:sz w:val="20"/>
                <w:szCs w:val="20"/>
                <w:lang w:val="en-GB"/>
              </w:rPr>
              <w:t>of</w:t>
            </w:r>
            <w:r w:rsidR="00281D7B" w:rsidRPr="007215B6">
              <w:rPr>
                <w:rFonts w:cs="Calibri"/>
                <w:sz w:val="20"/>
                <w:szCs w:val="20"/>
                <w:lang w:val="en-GB"/>
              </w:rPr>
              <w:t xml:space="preserve"> </w:t>
            </w:r>
            <w:r w:rsidR="0027440B" w:rsidRPr="007215B6">
              <w:rPr>
                <w:rFonts w:cs="Calibri"/>
                <w:sz w:val="20"/>
                <w:szCs w:val="20"/>
                <w:lang w:val="en-GB"/>
              </w:rPr>
              <w:t>this area. Within</w:t>
            </w:r>
            <w:r w:rsidR="00281D7B" w:rsidRPr="007215B6">
              <w:rPr>
                <w:rFonts w:cs="Calibri"/>
                <w:sz w:val="20"/>
                <w:szCs w:val="20"/>
                <w:lang w:val="en-GB"/>
              </w:rPr>
              <w:t xml:space="preserve"> </w:t>
            </w:r>
            <w:r w:rsidR="0027440B" w:rsidRPr="007215B6">
              <w:rPr>
                <w:rFonts w:cs="Calibri"/>
                <w:sz w:val="20"/>
                <w:szCs w:val="20"/>
                <w:lang w:val="en-GB"/>
              </w:rPr>
              <w:t>the</w:t>
            </w:r>
            <w:r w:rsidR="00281D7B" w:rsidRPr="007215B6">
              <w:rPr>
                <w:rFonts w:cs="Calibri"/>
                <w:sz w:val="20"/>
                <w:szCs w:val="20"/>
                <w:lang w:val="en-GB"/>
              </w:rPr>
              <w:t xml:space="preserve"> </w:t>
            </w:r>
            <w:r w:rsidR="007968F9">
              <w:rPr>
                <w:rFonts w:cs="Calibri"/>
                <w:sz w:val="20"/>
                <w:szCs w:val="20"/>
                <w:lang w:val="en-GB"/>
              </w:rPr>
              <w:t>course</w:t>
            </w:r>
            <w:r w:rsidR="0027440B" w:rsidRPr="007215B6">
              <w:rPr>
                <w:rFonts w:cs="Calibri"/>
                <w:sz w:val="20"/>
                <w:szCs w:val="20"/>
                <w:lang w:val="en-GB"/>
              </w:rPr>
              <w:t xml:space="preserve"> students</w:t>
            </w:r>
            <w:r w:rsidR="00281D7B" w:rsidRPr="007215B6">
              <w:rPr>
                <w:rFonts w:cs="Calibri"/>
                <w:sz w:val="20"/>
                <w:szCs w:val="20"/>
                <w:lang w:val="en-GB"/>
              </w:rPr>
              <w:t xml:space="preserve"> </w:t>
            </w:r>
            <w:r w:rsidR="0027440B" w:rsidRPr="007215B6">
              <w:rPr>
                <w:rFonts w:cs="Calibri"/>
                <w:sz w:val="20"/>
                <w:szCs w:val="20"/>
                <w:lang w:val="en-GB"/>
              </w:rPr>
              <w:t>will</w:t>
            </w:r>
            <w:r w:rsidR="00281D7B" w:rsidRPr="007215B6">
              <w:rPr>
                <w:rFonts w:cs="Calibri"/>
                <w:sz w:val="20"/>
                <w:szCs w:val="20"/>
                <w:lang w:val="en-GB"/>
              </w:rPr>
              <w:t xml:space="preserve"> </w:t>
            </w:r>
            <w:r w:rsidR="0027440B" w:rsidRPr="007215B6">
              <w:rPr>
                <w:rFonts w:cs="Calibri"/>
                <w:sz w:val="20"/>
                <w:szCs w:val="20"/>
                <w:lang w:val="en-GB"/>
              </w:rPr>
              <w:t>also</w:t>
            </w:r>
            <w:r w:rsidR="00281D7B" w:rsidRPr="007215B6">
              <w:rPr>
                <w:rFonts w:cs="Calibri"/>
                <w:sz w:val="20"/>
                <w:szCs w:val="20"/>
                <w:lang w:val="en-GB"/>
              </w:rPr>
              <w:t xml:space="preserve"> </w:t>
            </w:r>
            <w:r w:rsidR="0027440B" w:rsidRPr="007215B6">
              <w:rPr>
                <w:rFonts w:cs="Calibri"/>
                <w:sz w:val="20"/>
                <w:szCs w:val="20"/>
                <w:lang w:val="en-GB"/>
              </w:rPr>
              <w:t>acquire</w:t>
            </w:r>
            <w:r w:rsidR="00281D7B" w:rsidRPr="007215B6">
              <w:rPr>
                <w:rFonts w:cs="Calibri"/>
                <w:sz w:val="20"/>
                <w:szCs w:val="20"/>
                <w:lang w:val="en-GB"/>
              </w:rPr>
              <w:t xml:space="preserve"> </w:t>
            </w:r>
            <w:r w:rsidR="0027440B" w:rsidRPr="007215B6">
              <w:rPr>
                <w:rFonts w:cs="Calibri"/>
                <w:sz w:val="20"/>
                <w:szCs w:val="20"/>
                <w:lang w:val="en-GB"/>
              </w:rPr>
              <w:t>practical</w:t>
            </w:r>
            <w:r w:rsidR="00281D7B" w:rsidRPr="007215B6">
              <w:rPr>
                <w:rFonts w:cs="Calibri"/>
                <w:sz w:val="20"/>
                <w:szCs w:val="20"/>
                <w:lang w:val="en-GB"/>
              </w:rPr>
              <w:t xml:space="preserve"> </w:t>
            </w:r>
            <w:r w:rsidR="0027440B" w:rsidRPr="007215B6">
              <w:rPr>
                <w:rFonts w:cs="Calibri"/>
                <w:sz w:val="20"/>
                <w:szCs w:val="20"/>
                <w:lang w:val="en-GB"/>
              </w:rPr>
              <w:t>knowledge</w:t>
            </w:r>
            <w:r w:rsidR="00281D7B" w:rsidRPr="007215B6">
              <w:rPr>
                <w:rFonts w:cs="Calibri"/>
                <w:sz w:val="20"/>
                <w:szCs w:val="20"/>
                <w:lang w:val="en-GB"/>
              </w:rPr>
              <w:t xml:space="preserve"> </w:t>
            </w:r>
            <w:r w:rsidR="0027440B" w:rsidRPr="007215B6">
              <w:rPr>
                <w:rFonts w:cs="Calibri"/>
                <w:sz w:val="20"/>
                <w:szCs w:val="20"/>
                <w:lang w:val="en-GB"/>
              </w:rPr>
              <w:t>related to the</w:t>
            </w:r>
            <w:r w:rsidR="007215B6">
              <w:rPr>
                <w:rFonts w:cs="Calibri"/>
                <w:sz w:val="20"/>
                <w:szCs w:val="20"/>
                <w:lang w:val="en-GB"/>
              </w:rPr>
              <w:t xml:space="preserve"> </w:t>
            </w:r>
            <w:r w:rsidR="0027440B" w:rsidRPr="007215B6">
              <w:rPr>
                <w:rFonts w:cs="Calibri"/>
                <w:sz w:val="20"/>
                <w:szCs w:val="20"/>
                <w:lang w:val="en-GB"/>
              </w:rPr>
              <w:t>implementation</w:t>
            </w:r>
            <w:r w:rsidR="007215B6">
              <w:rPr>
                <w:rFonts w:cs="Calibri"/>
                <w:sz w:val="20"/>
                <w:szCs w:val="20"/>
                <w:lang w:val="en-GB"/>
              </w:rPr>
              <w:t xml:space="preserve"> </w:t>
            </w:r>
            <w:r w:rsidR="0027440B" w:rsidRPr="007215B6">
              <w:rPr>
                <w:rFonts w:cs="Calibri"/>
                <w:sz w:val="20"/>
                <w:szCs w:val="20"/>
                <w:lang w:val="en-GB"/>
              </w:rPr>
              <w:t>of</w:t>
            </w:r>
            <w:r w:rsidR="007215B6">
              <w:rPr>
                <w:rFonts w:cs="Calibri"/>
                <w:sz w:val="20"/>
                <w:szCs w:val="20"/>
                <w:lang w:val="en-GB"/>
              </w:rPr>
              <w:t xml:space="preserve"> </w:t>
            </w:r>
            <w:r w:rsidR="0027440B" w:rsidRPr="007215B6">
              <w:rPr>
                <w:rFonts w:cs="Calibri"/>
                <w:sz w:val="20"/>
                <w:szCs w:val="20"/>
                <w:lang w:val="en-GB"/>
              </w:rPr>
              <w:t>individual</w:t>
            </w:r>
            <w:r w:rsidR="007215B6">
              <w:rPr>
                <w:rFonts w:cs="Calibri"/>
                <w:sz w:val="20"/>
                <w:szCs w:val="20"/>
                <w:lang w:val="en-GB"/>
              </w:rPr>
              <w:t xml:space="preserve"> </w:t>
            </w:r>
            <w:r w:rsidR="0027440B" w:rsidRPr="007215B6">
              <w:rPr>
                <w:rFonts w:cs="Calibri"/>
                <w:sz w:val="20"/>
                <w:szCs w:val="20"/>
                <w:lang w:val="en-GB"/>
              </w:rPr>
              <w:t>procedural</w:t>
            </w:r>
            <w:r w:rsidR="007215B6">
              <w:rPr>
                <w:rFonts w:cs="Calibri"/>
                <w:sz w:val="20"/>
                <w:szCs w:val="20"/>
                <w:lang w:val="en-GB"/>
              </w:rPr>
              <w:t xml:space="preserve"> </w:t>
            </w:r>
            <w:r w:rsidR="0027440B" w:rsidRPr="007215B6">
              <w:rPr>
                <w:rFonts w:cs="Calibri"/>
                <w:sz w:val="20"/>
                <w:szCs w:val="20"/>
                <w:lang w:val="en-GB"/>
              </w:rPr>
              <w:t>acts</w:t>
            </w:r>
            <w:r w:rsidR="007215B6">
              <w:rPr>
                <w:rFonts w:cs="Calibri"/>
                <w:sz w:val="20"/>
                <w:szCs w:val="20"/>
                <w:lang w:val="en-GB"/>
              </w:rPr>
              <w:t xml:space="preserve"> </w:t>
            </w:r>
            <w:r w:rsidR="0027440B" w:rsidRPr="007215B6">
              <w:rPr>
                <w:rFonts w:cs="Calibri"/>
                <w:sz w:val="20"/>
                <w:szCs w:val="20"/>
                <w:lang w:val="en-GB"/>
              </w:rPr>
              <w:t>and</w:t>
            </w:r>
            <w:r w:rsidR="007215B6">
              <w:rPr>
                <w:rFonts w:cs="Calibri"/>
                <w:sz w:val="20"/>
                <w:szCs w:val="20"/>
                <w:lang w:val="en-GB"/>
              </w:rPr>
              <w:t xml:space="preserve"> </w:t>
            </w:r>
            <w:r w:rsidR="0027440B" w:rsidRPr="007215B6">
              <w:rPr>
                <w:rFonts w:cs="Calibri"/>
                <w:sz w:val="20"/>
                <w:szCs w:val="20"/>
                <w:lang w:val="en-GB"/>
              </w:rPr>
              <w:t>the</w:t>
            </w:r>
            <w:r w:rsidR="007215B6">
              <w:rPr>
                <w:rFonts w:cs="Calibri"/>
                <w:sz w:val="20"/>
                <w:szCs w:val="20"/>
                <w:lang w:val="en-GB"/>
              </w:rPr>
              <w:t xml:space="preserve"> </w:t>
            </w:r>
            <w:r w:rsidR="0027440B" w:rsidRPr="007215B6">
              <w:rPr>
                <w:rFonts w:cs="Calibri"/>
                <w:sz w:val="20"/>
                <w:szCs w:val="20"/>
                <w:lang w:val="en-GB"/>
              </w:rPr>
              <w:t>content</w:t>
            </w:r>
            <w:r w:rsidR="007215B6">
              <w:rPr>
                <w:rFonts w:cs="Calibri"/>
                <w:sz w:val="20"/>
                <w:szCs w:val="20"/>
                <w:lang w:val="en-GB"/>
              </w:rPr>
              <w:t xml:space="preserve"> </w:t>
            </w:r>
            <w:r w:rsidR="0027440B" w:rsidRPr="007215B6">
              <w:rPr>
                <w:rFonts w:cs="Calibri"/>
                <w:sz w:val="20"/>
                <w:szCs w:val="20"/>
                <w:lang w:val="en-GB"/>
              </w:rPr>
              <w:t>of</w:t>
            </w:r>
            <w:r w:rsidR="007215B6">
              <w:rPr>
                <w:rFonts w:cs="Calibri"/>
                <w:sz w:val="20"/>
                <w:szCs w:val="20"/>
                <w:lang w:val="en-GB"/>
              </w:rPr>
              <w:t xml:space="preserve"> </w:t>
            </w:r>
            <w:r w:rsidR="0027440B" w:rsidRPr="007215B6">
              <w:rPr>
                <w:rFonts w:cs="Calibri"/>
                <w:sz w:val="20"/>
                <w:szCs w:val="20"/>
                <w:lang w:val="en-GB"/>
              </w:rPr>
              <w:t>acts</w:t>
            </w:r>
            <w:r w:rsidR="007215B6">
              <w:rPr>
                <w:rFonts w:cs="Calibri"/>
                <w:sz w:val="20"/>
                <w:szCs w:val="20"/>
                <w:lang w:val="en-GB"/>
              </w:rPr>
              <w:t xml:space="preserve"> </w:t>
            </w:r>
            <w:r w:rsidR="0027440B" w:rsidRPr="007215B6">
              <w:rPr>
                <w:rFonts w:cs="Calibri"/>
                <w:sz w:val="20"/>
                <w:szCs w:val="20"/>
                <w:lang w:val="en-GB"/>
              </w:rPr>
              <w:t>that are being</w:t>
            </w:r>
            <w:r w:rsidR="00281D7B" w:rsidRPr="007215B6">
              <w:rPr>
                <w:rFonts w:cs="Calibri"/>
                <w:sz w:val="20"/>
                <w:szCs w:val="20"/>
                <w:lang w:val="en-GB"/>
              </w:rPr>
              <w:t xml:space="preserve"> </w:t>
            </w:r>
            <w:r w:rsidR="0027440B" w:rsidRPr="007215B6">
              <w:rPr>
                <w:rFonts w:cs="Calibri"/>
                <w:sz w:val="20"/>
                <w:szCs w:val="20"/>
                <w:lang w:val="en-GB"/>
              </w:rPr>
              <w:t>prepared in the</w:t>
            </w:r>
            <w:r w:rsidR="00281D7B" w:rsidRPr="007215B6">
              <w:rPr>
                <w:rFonts w:cs="Calibri"/>
                <w:sz w:val="20"/>
                <w:szCs w:val="20"/>
                <w:lang w:val="en-GB"/>
              </w:rPr>
              <w:t xml:space="preserve"> </w:t>
            </w:r>
            <w:r w:rsidR="0027440B" w:rsidRPr="007215B6">
              <w:rPr>
                <w:rFonts w:cs="Calibri"/>
                <w:sz w:val="20"/>
                <w:szCs w:val="20"/>
                <w:lang w:val="en-GB"/>
              </w:rPr>
              <w:t>course</w:t>
            </w:r>
            <w:r w:rsidR="00281D7B" w:rsidRPr="007215B6">
              <w:rPr>
                <w:rFonts w:cs="Calibri"/>
                <w:sz w:val="20"/>
                <w:szCs w:val="20"/>
                <w:lang w:val="en-GB"/>
              </w:rPr>
              <w:t xml:space="preserve"> </w:t>
            </w:r>
            <w:r w:rsidR="0027440B" w:rsidRPr="007215B6">
              <w:rPr>
                <w:rFonts w:cs="Calibri"/>
                <w:sz w:val="20"/>
                <w:szCs w:val="20"/>
                <w:lang w:val="en-GB"/>
              </w:rPr>
              <w:t>of</w:t>
            </w:r>
            <w:r w:rsidR="00281D7B" w:rsidRPr="007215B6">
              <w:rPr>
                <w:rFonts w:cs="Calibri"/>
                <w:sz w:val="20"/>
                <w:szCs w:val="20"/>
                <w:lang w:val="en-GB"/>
              </w:rPr>
              <w:t xml:space="preserve"> </w:t>
            </w:r>
            <w:r w:rsidR="0027440B" w:rsidRPr="007215B6">
              <w:rPr>
                <w:rFonts w:cs="Calibri"/>
                <w:sz w:val="20"/>
                <w:szCs w:val="20"/>
                <w:lang w:val="en-GB"/>
              </w:rPr>
              <w:t>the</w:t>
            </w:r>
            <w:r w:rsidR="00281D7B" w:rsidRPr="007215B6">
              <w:rPr>
                <w:rFonts w:cs="Calibri"/>
                <w:sz w:val="20"/>
                <w:szCs w:val="20"/>
                <w:lang w:val="en-GB"/>
              </w:rPr>
              <w:t xml:space="preserve"> </w:t>
            </w:r>
            <w:r w:rsidR="0027440B" w:rsidRPr="007215B6">
              <w:rPr>
                <w:rFonts w:cs="Calibri"/>
                <w:sz w:val="20"/>
                <w:szCs w:val="20"/>
                <w:lang w:val="en-GB"/>
              </w:rPr>
              <w:t>individual</w:t>
            </w:r>
            <w:r w:rsidR="00281D7B" w:rsidRPr="007215B6">
              <w:rPr>
                <w:rFonts w:cs="Calibri"/>
                <w:sz w:val="20"/>
                <w:szCs w:val="20"/>
                <w:lang w:val="en-GB"/>
              </w:rPr>
              <w:t xml:space="preserve"> </w:t>
            </w:r>
            <w:r w:rsidR="0027440B" w:rsidRPr="007215B6">
              <w:rPr>
                <w:rFonts w:cs="Calibri"/>
                <w:sz w:val="20"/>
                <w:szCs w:val="20"/>
                <w:lang w:val="en-GB"/>
              </w:rPr>
              <w:t>stages</w:t>
            </w:r>
            <w:r w:rsidR="00281D7B" w:rsidRPr="007215B6">
              <w:rPr>
                <w:rFonts w:cs="Calibri"/>
                <w:sz w:val="20"/>
                <w:szCs w:val="20"/>
                <w:lang w:val="en-GB"/>
              </w:rPr>
              <w:t xml:space="preserve"> </w:t>
            </w:r>
            <w:r w:rsidR="0027440B" w:rsidRPr="007215B6">
              <w:rPr>
                <w:rFonts w:cs="Calibri"/>
                <w:sz w:val="20"/>
                <w:szCs w:val="20"/>
                <w:lang w:val="en-GB"/>
              </w:rPr>
              <w:t>of</w:t>
            </w:r>
            <w:r w:rsidR="00281D7B" w:rsidRPr="007215B6">
              <w:rPr>
                <w:rFonts w:cs="Calibri"/>
                <w:sz w:val="20"/>
                <w:szCs w:val="20"/>
                <w:lang w:val="en-GB"/>
              </w:rPr>
              <w:t xml:space="preserve"> </w:t>
            </w:r>
            <w:r w:rsidR="0027440B" w:rsidRPr="007215B6">
              <w:rPr>
                <w:rFonts w:cs="Calibri"/>
                <w:sz w:val="20"/>
                <w:szCs w:val="20"/>
                <w:lang w:val="en-GB"/>
              </w:rPr>
              <w:t>the</w:t>
            </w:r>
            <w:r w:rsidR="00281D7B" w:rsidRPr="007215B6">
              <w:rPr>
                <w:rFonts w:cs="Calibri"/>
                <w:sz w:val="20"/>
                <w:szCs w:val="20"/>
                <w:lang w:val="en-GB"/>
              </w:rPr>
              <w:t xml:space="preserve"> </w:t>
            </w:r>
            <w:r w:rsidR="0027440B" w:rsidRPr="007215B6">
              <w:rPr>
                <w:rFonts w:cs="Calibri"/>
                <w:sz w:val="20"/>
                <w:szCs w:val="20"/>
                <w:lang w:val="en-GB"/>
              </w:rPr>
              <w:t>process.</w:t>
            </w:r>
            <w:r w:rsidR="00F2694A">
              <w:rPr>
                <w:rFonts w:cs="Calibri"/>
                <w:sz w:val="20"/>
                <w:szCs w:val="20"/>
                <w:lang w:val="en-GB"/>
              </w:rPr>
              <w:t xml:space="preserve"> </w:t>
            </w:r>
            <w:r w:rsidR="005E373F">
              <w:rPr>
                <w:rFonts w:cs="Calibri"/>
                <w:sz w:val="20"/>
                <w:szCs w:val="20"/>
                <w:lang w:val="en-GB"/>
              </w:rPr>
              <w:t>T</w:t>
            </w:r>
            <w:r w:rsidR="00F2694A">
              <w:rPr>
                <w:rFonts w:cs="Calibri"/>
                <w:sz w:val="20"/>
                <w:szCs w:val="20"/>
                <w:lang w:val="en-GB"/>
              </w:rPr>
              <w:t xml:space="preserve">here is </w:t>
            </w:r>
            <w:r w:rsidR="002E741A">
              <w:rPr>
                <w:rFonts w:cs="Calibri"/>
                <w:sz w:val="20"/>
                <w:szCs w:val="20"/>
                <w:lang w:val="en-GB"/>
              </w:rPr>
              <w:t>a strong connection</w:t>
            </w:r>
            <w:r w:rsidR="00281D7B" w:rsidRPr="007215B6">
              <w:rPr>
                <w:rFonts w:cs="Calibri"/>
                <w:sz w:val="20"/>
                <w:szCs w:val="20"/>
                <w:lang w:val="en-GB"/>
              </w:rPr>
              <w:t xml:space="preserve"> </w:t>
            </w:r>
            <w:r w:rsidR="004F3227" w:rsidRPr="001E1BDB">
              <w:rPr>
                <w:rFonts w:cs="Calibri"/>
                <w:sz w:val="20"/>
                <w:szCs w:val="20"/>
                <w:lang w:val="en-GB"/>
              </w:rPr>
              <w:t>between</w:t>
            </w:r>
            <w:r w:rsidR="00281D7B" w:rsidRPr="001E1BDB">
              <w:rPr>
                <w:rFonts w:cs="Calibri"/>
                <w:sz w:val="20"/>
                <w:szCs w:val="20"/>
                <w:lang w:val="en-GB"/>
              </w:rPr>
              <w:t xml:space="preserve"> </w:t>
            </w:r>
            <w:r w:rsidR="004F3227" w:rsidRPr="001E1BDB">
              <w:rPr>
                <w:rFonts w:cs="Calibri"/>
                <w:sz w:val="20"/>
                <w:szCs w:val="20"/>
                <w:lang w:val="en-GB"/>
              </w:rPr>
              <w:t>the</w:t>
            </w:r>
            <w:r w:rsidR="00281D7B" w:rsidRPr="001E1BDB">
              <w:rPr>
                <w:rFonts w:cs="Calibri"/>
                <w:sz w:val="20"/>
                <w:szCs w:val="20"/>
                <w:lang w:val="en-GB"/>
              </w:rPr>
              <w:t xml:space="preserve"> </w:t>
            </w:r>
            <w:r w:rsidR="004F3227" w:rsidRPr="001E1BDB">
              <w:rPr>
                <w:rFonts w:cs="Calibri"/>
                <w:sz w:val="20"/>
                <w:szCs w:val="20"/>
                <w:lang w:val="en-GB"/>
              </w:rPr>
              <w:t>control</w:t>
            </w:r>
            <w:r w:rsidR="00281D7B" w:rsidRPr="001E1BDB">
              <w:rPr>
                <w:rFonts w:cs="Calibri"/>
                <w:sz w:val="20"/>
                <w:szCs w:val="20"/>
                <w:lang w:val="en-GB"/>
              </w:rPr>
              <w:t xml:space="preserve"> </w:t>
            </w:r>
            <w:r w:rsidR="004F3227" w:rsidRPr="001E1BDB">
              <w:rPr>
                <w:rFonts w:cs="Calibri"/>
                <w:sz w:val="20"/>
                <w:szCs w:val="20"/>
                <w:lang w:val="en-GB"/>
              </w:rPr>
              <w:t>of</w:t>
            </w:r>
            <w:r w:rsidR="00281D7B" w:rsidRPr="001E1BDB">
              <w:rPr>
                <w:rFonts w:cs="Calibri"/>
                <w:sz w:val="20"/>
                <w:szCs w:val="20"/>
                <w:lang w:val="en-GB"/>
              </w:rPr>
              <w:t xml:space="preserve"> </w:t>
            </w:r>
            <w:r w:rsidR="004F3227" w:rsidRPr="001E1BDB">
              <w:rPr>
                <w:rFonts w:cs="Calibri"/>
                <w:sz w:val="20"/>
                <w:szCs w:val="20"/>
                <w:lang w:val="en-GB"/>
              </w:rPr>
              <w:t>cognate</w:t>
            </w:r>
            <w:r w:rsidR="00281D7B" w:rsidRPr="001E1BDB">
              <w:rPr>
                <w:rFonts w:cs="Calibri"/>
                <w:sz w:val="20"/>
                <w:szCs w:val="20"/>
                <w:lang w:val="en-GB"/>
              </w:rPr>
              <w:t xml:space="preserve"> </w:t>
            </w:r>
            <w:r w:rsidR="004F3227" w:rsidRPr="001E1BDB">
              <w:rPr>
                <w:rFonts w:cs="Calibri"/>
                <w:sz w:val="20"/>
                <w:szCs w:val="20"/>
                <w:lang w:val="en-GB"/>
              </w:rPr>
              <w:t>matter</w:t>
            </w:r>
            <w:r w:rsidR="00281D7B" w:rsidRPr="001E1BDB">
              <w:rPr>
                <w:rFonts w:cs="Calibri"/>
                <w:sz w:val="20"/>
                <w:szCs w:val="20"/>
                <w:lang w:val="en-GB"/>
              </w:rPr>
              <w:t xml:space="preserve"> </w:t>
            </w:r>
            <w:r w:rsidR="004F3227" w:rsidRPr="001E1BDB">
              <w:rPr>
                <w:rFonts w:cs="Calibri"/>
                <w:sz w:val="20"/>
                <w:szCs w:val="20"/>
                <w:lang w:val="en-GB"/>
              </w:rPr>
              <w:t>and</w:t>
            </w:r>
            <w:r w:rsidR="00281D7B" w:rsidRPr="001E1BDB">
              <w:rPr>
                <w:rFonts w:cs="Calibri"/>
                <w:sz w:val="20"/>
                <w:szCs w:val="20"/>
                <w:lang w:val="en-GB"/>
              </w:rPr>
              <w:t xml:space="preserve"> </w:t>
            </w:r>
            <w:r w:rsidR="004F3227" w:rsidRPr="001E1BDB">
              <w:rPr>
                <w:rFonts w:cs="Calibri"/>
                <w:sz w:val="20"/>
                <w:szCs w:val="20"/>
                <w:lang w:val="en-GB"/>
              </w:rPr>
              <w:t>the</w:t>
            </w:r>
            <w:r w:rsidR="00281D7B" w:rsidRPr="001E1BDB">
              <w:rPr>
                <w:rFonts w:cs="Calibri"/>
                <w:sz w:val="20"/>
                <w:szCs w:val="20"/>
                <w:lang w:val="en-GB"/>
              </w:rPr>
              <w:t xml:space="preserve"> </w:t>
            </w:r>
            <w:r w:rsidR="004F3227" w:rsidRPr="001E1BDB">
              <w:rPr>
                <w:rFonts w:cs="Calibri"/>
                <w:sz w:val="20"/>
                <w:szCs w:val="20"/>
                <w:lang w:val="en-GB"/>
              </w:rPr>
              <w:t>ability</w:t>
            </w:r>
            <w:r w:rsidR="00281D7B" w:rsidRPr="001E1BDB">
              <w:rPr>
                <w:rFonts w:cs="Calibri"/>
                <w:sz w:val="20"/>
                <w:szCs w:val="20"/>
                <w:lang w:val="en-GB"/>
              </w:rPr>
              <w:t xml:space="preserve"> </w:t>
            </w:r>
            <w:r w:rsidR="004F3227" w:rsidRPr="001E1BDB">
              <w:rPr>
                <w:rFonts w:cs="Calibri"/>
                <w:sz w:val="20"/>
                <w:szCs w:val="20"/>
                <w:lang w:val="en-GB"/>
              </w:rPr>
              <w:t>of</w:t>
            </w:r>
            <w:r w:rsidR="00281D7B" w:rsidRPr="001E1BDB">
              <w:rPr>
                <w:rFonts w:cs="Calibri"/>
                <w:sz w:val="20"/>
                <w:szCs w:val="20"/>
                <w:lang w:val="en-GB"/>
              </w:rPr>
              <w:t xml:space="preserve"> </w:t>
            </w:r>
            <w:r w:rsidR="004F3227" w:rsidRPr="001E1BDB">
              <w:rPr>
                <w:rFonts w:cs="Calibri"/>
                <w:sz w:val="20"/>
                <w:szCs w:val="20"/>
                <w:lang w:val="en-GB"/>
              </w:rPr>
              <w:t>its</w:t>
            </w:r>
            <w:r w:rsidR="00281D7B" w:rsidRPr="001E1BDB">
              <w:rPr>
                <w:rFonts w:cs="Calibri"/>
                <w:sz w:val="20"/>
                <w:szCs w:val="20"/>
                <w:lang w:val="en-GB"/>
              </w:rPr>
              <w:t xml:space="preserve"> </w:t>
            </w:r>
            <w:r w:rsidR="004F3227" w:rsidRPr="001E1BDB">
              <w:rPr>
                <w:rFonts w:cs="Calibri"/>
                <w:sz w:val="20"/>
                <w:szCs w:val="20"/>
                <w:lang w:val="en-GB"/>
              </w:rPr>
              <w:t>creative</w:t>
            </w:r>
            <w:r w:rsidR="00281D7B" w:rsidRPr="001E1BDB">
              <w:rPr>
                <w:rFonts w:cs="Calibri"/>
                <w:sz w:val="20"/>
                <w:szCs w:val="20"/>
                <w:lang w:val="en-GB"/>
              </w:rPr>
              <w:t xml:space="preserve"> </w:t>
            </w:r>
            <w:r w:rsidR="004F3227" w:rsidRPr="001E1BDB">
              <w:rPr>
                <w:rFonts w:cs="Calibri"/>
                <w:sz w:val="20"/>
                <w:szCs w:val="20"/>
                <w:lang w:val="en-GB"/>
              </w:rPr>
              <w:t>use to achieve</w:t>
            </w:r>
            <w:r w:rsidR="00281D7B" w:rsidRPr="001E1BDB">
              <w:rPr>
                <w:rFonts w:cs="Calibri"/>
                <w:sz w:val="20"/>
                <w:szCs w:val="20"/>
                <w:lang w:val="en-GB"/>
              </w:rPr>
              <w:t xml:space="preserve"> </w:t>
            </w:r>
            <w:r w:rsidR="004F3227" w:rsidRPr="001E1BDB">
              <w:rPr>
                <w:rFonts w:cs="Calibri"/>
                <w:sz w:val="20"/>
                <w:szCs w:val="20"/>
                <w:lang w:val="en-GB"/>
              </w:rPr>
              <w:t>appropriate legal results.</w:t>
            </w:r>
          </w:p>
        </w:tc>
      </w:tr>
      <w:tr w:rsidR="00CE4BC9" w:rsidRPr="008B58EB" w14:paraId="1AF7E6B6" w14:textId="77777777" w:rsidTr="002C0D46">
        <w:trPr>
          <w:trHeight w:val="117"/>
        </w:trPr>
        <w:tc>
          <w:tcPr>
            <w:tcW w:w="4671" w:type="dxa"/>
            <w:gridSpan w:val="3"/>
            <w:tcBorders>
              <w:top w:val="nil"/>
              <w:left w:val="nil"/>
              <w:bottom w:val="single" w:sz="4" w:space="0" w:color="auto"/>
              <w:right w:val="nil"/>
            </w:tcBorders>
          </w:tcPr>
          <w:p w14:paraId="7235D907" w14:textId="77777777" w:rsidR="00CE4BC9" w:rsidRPr="008B58EB" w:rsidRDefault="00CE4BC9" w:rsidP="00CE4BC9">
            <w:pPr>
              <w:rPr>
                <w:rFonts w:cs="Calibri"/>
                <w:sz w:val="20"/>
                <w:szCs w:val="20"/>
              </w:rPr>
            </w:pPr>
          </w:p>
          <w:p w14:paraId="16D3C307" w14:textId="77777777" w:rsidR="00CE4BC9" w:rsidRPr="008B58EB" w:rsidRDefault="00CE4BC9" w:rsidP="00CE4BC9">
            <w:pPr>
              <w:rPr>
                <w:rFonts w:cs="Calibri"/>
                <w:sz w:val="20"/>
                <w:szCs w:val="20"/>
              </w:rPr>
            </w:pPr>
            <w:r w:rsidRPr="008B58EB">
              <w:rPr>
                <w:rFonts w:cs="Calibri"/>
                <w:sz w:val="20"/>
                <w:szCs w:val="20"/>
              </w:rPr>
              <w:t>Predvideni študijski rezultati:</w:t>
            </w:r>
          </w:p>
        </w:tc>
        <w:tc>
          <w:tcPr>
            <w:tcW w:w="142" w:type="dxa"/>
          </w:tcPr>
          <w:p w14:paraId="54EDA328" w14:textId="77777777" w:rsidR="00CE4BC9" w:rsidRPr="008B58EB" w:rsidRDefault="00CE4BC9" w:rsidP="00CE4BC9">
            <w:pPr>
              <w:rPr>
                <w:rFonts w:cs="Calibri"/>
                <w:sz w:val="20"/>
                <w:szCs w:val="20"/>
              </w:rPr>
            </w:pPr>
          </w:p>
          <w:p w14:paraId="3B99178A" w14:textId="77777777" w:rsidR="00CE4BC9" w:rsidRPr="008B58EB" w:rsidRDefault="00CE4BC9" w:rsidP="00CE4BC9">
            <w:pPr>
              <w:rPr>
                <w:rFonts w:cs="Calibri"/>
                <w:sz w:val="20"/>
                <w:szCs w:val="20"/>
              </w:rPr>
            </w:pPr>
          </w:p>
        </w:tc>
        <w:tc>
          <w:tcPr>
            <w:tcW w:w="4821" w:type="dxa"/>
            <w:gridSpan w:val="2"/>
            <w:tcBorders>
              <w:top w:val="nil"/>
              <w:left w:val="nil"/>
              <w:bottom w:val="single" w:sz="4" w:space="0" w:color="auto"/>
              <w:right w:val="nil"/>
            </w:tcBorders>
          </w:tcPr>
          <w:p w14:paraId="7B28D315" w14:textId="77777777" w:rsidR="00CE4BC9" w:rsidRPr="008B58EB" w:rsidRDefault="00CE4BC9" w:rsidP="00CE4BC9">
            <w:pPr>
              <w:rPr>
                <w:rFonts w:cs="Calibri"/>
                <w:sz w:val="20"/>
                <w:szCs w:val="20"/>
              </w:rPr>
            </w:pPr>
          </w:p>
          <w:p w14:paraId="6836D78B" w14:textId="77777777" w:rsidR="00CE4BC9" w:rsidRPr="00955EF7" w:rsidRDefault="00CE4BC9" w:rsidP="00CE4BC9">
            <w:pPr>
              <w:rPr>
                <w:rFonts w:cs="Calibri"/>
                <w:sz w:val="20"/>
                <w:szCs w:val="20"/>
                <w:lang w:val="en-GB"/>
              </w:rPr>
            </w:pPr>
            <w:r w:rsidRPr="00955EF7">
              <w:rPr>
                <w:rFonts w:cs="Calibri"/>
                <w:sz w:val="20"/>
                <w:szCs w:val="20"/>
                <w:lang w:val="en-GB"/>
              </w:rPr>
              <w:t>Intended</w:t>
            </w:r>
            <w:r w:rsidR="00281D7B" w:rsidRPr="00955EF7">
              <w:rPr>
                <w:rFonts w:cs="Calibri"/>
                <w:sz w:val="20"/>
                <w:szCs w:val="20"/>
                <w:lang w:val="en-GB"/>
              </w:rPr>
              <w:t xml:space="preserve"> </w:t>
            </w:r>
            <w:r w:rsidRPr="00955EF7">
              <w:rPr>
                <w:rFonts w:cs="Calibri"/>
                <w:sz w:val="20"/>
                <w:szCs w:val="20"/>
                <w:lang w:val="en-GB"/>
              </w:rPr>
              <w:t>learning</w:t>
            </w:r>
            <w:r w:rsidR="00281D7B" w:rsidRPr="00955EF7">
              <w:rPr>
                <w:rFonts w:cs="Calibri"/>
                <w:sz w:val="20"/>
                <w:szCs w:val="20"/>
                <w:lang w:val="en-GB"/>
              </w:rPr>
              <w:t xml:space="preserve"> </w:t>
            </w:r>
            <w:r w:rsidRPr="00955EF7">
              <w:rPr>
                <w:rFonts w:cs="Calibri"/>
                <w:sz w:val="20"/>
                <w:szCs w:val="20"/>
                <w:lang w:val="en-GB"/>
              </w:rPr>
              <w:t>outcomes:</w:t>
            </w:r>
          </w:p>
        </w:tc>
      </w:tr>
      <w:tr w:rsidR="00CE4BC9" w:rsidRPr="004F3227" w14:paraId="388B35EF" w14:textId="77777777" w:rsidTr="002C0D46">
        <w:trPr>
          <w:trHeight w:val="1387"/>
        </w:trPr>
        <w:tc>
          <w:tcPr>
            <w:tcW w:w="4671" w:type="dxa"/>
            <w:gridSpan w:val="3"/>
            <w:tcBorders>
              <w:top w:val="single" w:sz="4" w:space="0" w:color="auto"/>
              <w:left w:val="single" w:sz="4" w:space="0" w:color="auto"/>
              <w:bottom w:val="nil"/>
              <w:right w:val="single" w:sz="4" w:space="0" w:color="auto"/>
            </w:tcBorders>
          </w:tcPr>
          <w:p w14:paraId="335A8738" w14:textId="77777777" w:rsidR="00CE4BC9" w:rsidRDefault="00CE4BC9" w:rsidP="00955EF7">
            <w:pPr>
              <w:jc w:val="both"/>
              <w:rPr>
                <w:sz w:val="20"/>
                <w:szCs w:val="20"/>
              </w:rPr>
            </w:pPr>
            <w:r w:rsidRPr="008B58EB">
              <w:rPr>
                <w:sz w:val="20"/>
                <w:szCs w:val="20"/>
              </w:rPr>
              <w:t>Na podlagi pridobljenih znanj iz tega predmeta bo študent pridobil pregled nad instituti upravnega procesnega prava in razmerja med procesnimi dejanji in posledicami v različnih fazah postopka odločanja upravnih organov ter upravnega sodstva pri izvrševanju sodnega nadzora nad upravo. V tej zvezi bo tako sposoben tako uporabe veljavne pravne ureditve, ki izhaja iz zakonov in sodne prakse, kot tudi odpiranja vprašanj in pristopov, ki bodo predstavljali novum na tem področju pravnega delovanja.</w:t>
            </w:r>
          </w:p>
          <w:p w14:paraId="3302448A" w14:textId="77777777" w:rsidR="00955EF7" w:rsidRPr="008B58EB" w:rsidRDefault="00955EF7" w:rsidP="00955EF7">
            <w:pPr>
              <w:jc w:val="both"/>
              <w:rPr>
                <w:sz w:val="20"/>
                <w:szCs w:val="20"/>
              </w:rPr>
            </w:pPr>
          </w:p>
          <w:p w14:paraId="790C29C3" w14:textId="77777777" w:rsidR="007968F9" w:rsidRDefault="007968F9" w:rsidP="00955EF7">
            <w:pPr>
              <w:jc w:val="both"/>
              <w:rPr>
                <w:sz w:val="20"/>
                <w:szCs w:val="20"/>
              </w:rPr>
            </w:pPr>
          </w:p>
          <w:p w14:paraId="62AB108E" w14:textId="77777777" w:rsidR="00CE4BC9" w:rsidRDefault="00CE4BC9" w:rsidP="00955EF7">
            <w:pPr>
              <w:jc w:val="both"/>
              <w:rPr>
                <w:sz w:val="20"/>
                <w:szCs w:val="20"/>
              </w:rPr>
            </w:pPr>
            <w:r w:rsidRPr="008B58EB">
              <w:rPr>
                <w:sz w:val="20"/>
                <w:szCs w:val="20"/>
              </w:rPr>
              <w:t xml:space="preserve">Pridobljeno znanje bo uporabljivo za nosilce odločanja v upravnih in upravnosodnih zadevah, kot tudi za primere zastopanja subjektov javnega ali zasebnega sektorja, ki se udeležujejo navedenih postopkov. </w:t>
            </w:r>
          </w:p>
          <w:p w14:paraId="57A6F505" w14:textId="77777777" w:rsidR="00955EF7" w:rsidRPr="008B58EB" w:rsidRDefault="00955EF7" w:rsidP="00955EF7">
            <w:pPr>
              <w:jc w:val="both"/>
              <w:rPr>
                <w:sz w:val="20"/>
                <w:szCs w:val="20"/>
              </w:rPr>
            </w:pPr>
          </w:p>
          <w:p w14:paraId="3B12AE10" w14:textId="77777777" w:rsidR="007968F9" w:rsidRDefault="007968F9" w:rsidP="00955EF7">
            <w:pPr>
              <w:jc w:val="both"/>
              <w:rPr>
                <w:sz w:val="20"/>
                <w:szCs w:val="20"/>
              </w:rPr>
            </w:pPr>
          </w:p>
          <w:p w14:paraId="56AC6F35" w14:textId="77777777" w:rsidR="00CE4BC9" w:rsidRDefault="00CE4BC9" w:rsidP="00955EF7">
            <w:pPr>
              <w:jc w:val="both"/>
              <w:rPr>
                <w:sz w:val="20"/>
                <w:szCs w:val="20"/>
              </w:rPr>
            </w:pPr>
            <w:r w:rsidRPr="008B58EB">
              <w:rPr>
                <w:sz w:val="20"/>
                <w:szCs w:val="20"/>
              </w:rPr>
              <w:t>Tako pisno, kot tudi ustno predstavljanje pravne argumentacije in interpretacije, možnost oblikovanja in razumevanja posledic med procesnimi dejanji in pravnimi posledicami, izdelava procesnih vlog in aktov v postopkih</w:t>
            </w:r>
            <w:r w:rsidR="004F152F">
              <w:rPr>
                <w:sz w:val="20"/>
                <w:szCs w:val="20"/>
              </w:rPr>
              <w:t>.</w:t>
            </w:r>
          </w:p>
          <w:p w14:paraId="30332477" w14:textId="77777777" w:rsidR="00955EF7" w:rsidRPr="008B58EB" w:rsidRDefault="00955EF7" w:rsidP="00955EF7">
            <w:pPr>
              <w:jc w:val="both"/>
              <w:rPr>
                <w:sz w:val="20"/>
                <w:szCs w:val="20"/>
              </w:rPr>
            </w:pPr>
          </w:p>
          <w:p w14:paraId="350AA566" w14:textId="77777777" w:rsidR="00CE4BC9" w:rsidRPr="008B58EB" w:rsidRDefault="00CE4BC9" w:rsidP="00955EF7">
            <w:pPr>
              <w:jc w:val="both"/>
              <w:rPr>
                <w:sz w:val="20"/>
                <w:szCs w:val="20"/>
              </w:rPr>
            </w:pPr>
            <w:r w:rsidRPr="008B58EB">
              <w:rPr>
                <w:sz w:val="20"/>
                <w:szCs w:val="20"/>
              </w:rPr>
              <w:t xml:space="preserve">Pridobljeno znanje je vsebinsko povezano z različnimi pravnimi področji, saj upravno procesno pravo, kot posebna veja procesnega prava nastopa pri najrazličnejših oblikah pravnega odločanja: tako s </w:t>
            </w:r>
            <w:r w:rsidRPr="008B58EB">
              <w:rPr>
                <w:sz w:val="20"/>
                <w:szCs w:val="20"/>
              </w:rPr>
              <w:lastRenderedPageBreak/>
              <w:t>področja upravnega prava, konkurenčnega prava, prava finančnih instrumentov, upravnih institucij, itd. Obvladovanje procesne materije odpira možnosti razumevanja in delovanja upravnih organov in nosilcev javnih pooblastil na najrazličnejših pravnih področjih, saj predstavlja eno od rdečih niti pravne ureditve.</w:t>
            </w:r>
          </w:p>
          <w:p w14:paraId="74780E6C" w14:textId="77777777" w:rsidR="00CE4BC9" w:rsidRPr="008B58EB" w:rsidRDefault="00CE4BC9" w:rsidP="00CE4BC9">
            <w:pPr>
              <w:rPr>
                <w:rFonts w:cs="Calibri"/>
                <w:sz w:val="20"/>
                <w:szCs w:val="20"/>
              </w:rPr>
            </w:pPr>
          </w:p>
        </w:tc>
        <w:tc>
          <w:tcPr>
            <w:tcW w:w="142" w:type="dxa"/>
            <w:tcBorders>
              <w:top w:val="nil"/>
              <w:left w:val="single" w:sz="4" w:space="0" w:color="auto"/>
              <w:bottom w:val="nil"/>
              <w:right w:val="single" w:sz="4" w:space="0" w:color="auto"/>
            </w:tcBorders>
          </w:tcPr>
          <w:p w14:paraId="3CCE334E" w14:textId="77777777" w:rsidR="00CE4BC9" w:rsidRPr="008B58EB" w:rsidRDefault="00CE4BC9" w:rsidP="00CE4BC9">
            <w:pPr>
              <w:rPr>
                <w:rFonts w:cs="Calibri"/>
                <w:sz w:val="20"/>
                <w:szCs w:val="20"/>
              </w:rPr>
            </w:pPr>
          </w:p>
          <w:p w14:paraId="4D930ABB" w14:textId="77777777" w:rsidR="00CE4BC9" w:rsidRPr="008B58EB" w:rsidRDefault="00CE4BC9" w:rsidP="00CE4BC9">
            <w:pPr>
              <w:rPr>
                <w:rFonts w:cs="Calibri"/>
                <w:sz w:val="20"/>
                <w:szCs w:val="20"/>
              </w:rPr>
            </w:pPr>
          </w:p>
          <w:p w14:paraId="1D0F8825" w14:textId="77777777" w:rsidR="00CE4BC9" w:rsidRPr="008B58EB" w:rsidRDefault="00CE4BC9" w:rsidP="00CE4BC9">
            <w:pPr>
              <w:rPr>
                <w:rFonts w:cs="Calibri"/>
                <w:sz w:val="20"/>
                <w:szCs w:val="20"/>
              </w:rPr>
            </w:pPr>
          </w:p>
        </w:tc>
        <w:tc>
          <w:tcPr>
            <w:tcW w:w="4821" w:type="dxa"/>
            <w:gridSpan w:val="2"/>
            <w:tcBorders>
              <w:top w:val="single" w:sz="4" w:space="0" w:color="auto"/>
              <w:left w:val="single" w:sz="4" w:space="0" w:color="auto"/>
              <w:bottom w:val="nil"/>
              <w:right w:val="single" w:sz="4" w:space="0" w:color="auto"/>
            </w:tcBorders>
          </w:tcPr>
          <w:p w14:paraId="77E6AF9B" w14:textId="77777777" w:rsidR="00A637F8" w:rsidRPr="00916698" w:rsidRDefault="004F3227" w:rsidP="00A15561">
            <w:pPr>
              <w:jc w:val="both"/>
              <w:rPr>
                <w:sz w:val="20"/>
                <w:szCs w:val="20"/>
                <w:lang w:val="en-GB"/>
              </w:rPr>
            </w:pPr>
            <w:r w:rsidRPr="00916698">
              <w:rPr>
                <w:rStyle w:val="tlid-translation"/>
                <w:sz w:val="20"/>
                <w:szCs w:val="20"/>
                <w:lang w:val="en-GB"/>
              </w:rPr>
              <w:t>On the ba</w:t>
            </w:r>
            <w:r w:rsidR="00955EF7" w:rsidRPr="00916698">
              <w:rPr>
                <w:rStyle w:val="tlid-translation"/>
                <w:sz w:val="20"/>
                <w:szCs w:val="20"/>
                <w:lang w:val="en-GB"/>
              </w:rPr>
              <w:t>sis of the acquired knowledge from</w:t>
            </w:r>
            <w:r w:rsidRPr="00916698">
              <w:rPr>
                <w:rStyle w:val="tlid-translation"/>
                <w:sz w:val="20"/>
                <w:szCs w:val="20"/>
                <w:lang w:val="en-GB"/>
              </w:rPr>
              <w:t xml:space="preserve"> this </w:t>
            </w:r>
            <w:r w:rsidR="00955EF7" w:rsidRPr="00916698">
              <w:rPr>
                <w:rStyle w:val="tlid-translation"/>
                <w:sz w:val="20"/>
                <w:szCs w:val="20"/>
                <w:lang w:val="en-GB"/>
              </w:rPr>
              <w:t>course, the student will acquire</w:t>
            </w:r>
            <w:r w:rsidR="00BE55CF" w:rsidRPr="00916698">
              <w:rPr>
                <w:rStyle w:val="tlid-translation"/>
                <w:sz w:val="20"/>
                <w:szCs w:val="20"/>
                <w:lang w:val="en-GB"/>
              </w:rPr>
              <w:t xml:space="preserve"> an overview </w:t>
            </w:r>
            <w:r w:rsidR="002E741A" w:rsidRPr="00916698">
              <w:rPr>
                <w:rStyle w:val="tlid-translation"/>
                <w:sz w:val="20"/>
                <w:szCs w:val="20"/>
                <w:lang w:val="en-GB"/>
              </w:rPr>
              <w:t>over</w:t>
            </w:r>
            <w:r w:rsidRPr="00916698">
              <w:rPr>
                <w:rStyle w:val="tlid-translation"/>
                <w:sz w:val="20"/>
                <w:szCs w:val="20"/>
                <w:lang w:val="en-GB"/>
              </w:rPr>
              <w:t xml:space="preserve"> the institute</w:t>
            </w:r>
            <w:r w:rsidR="00955EF7" w:rsidRPr="00916698">
              <w:rPr>
                <w:rStyle w:val="tlid-translation"/>
                <w:sz w:val="20"/>
                <w:szCs w:val="20"/>
                <w:lang w:val="en-GB"/>
              </w:rPr>
              <w:t>s</w:t>
            </w:r>
            <w:r w:rsidRPr="00916698">
              <w:rPr>
                <w:rStyle w:val="tlid-translation"/>
                <w:sz w:val="20"/>
                <w:szCs w:val="20"/>
                <w:lang w:val="en-GB"/>
              </w:rPr>
              <w:t xml:space="preserve"> of administrative pro</w:t>
            </w:r>
            <w:r w:rsidR="002E741A" w:rsidRPr="00916698">
              <w:rPr>
                <w:rStyle w:val="tlid-translation"/>
                <w:sz w:val="20"/>
                <w:szCs w:val="20"/>
                <w:lang w:val="en-GB"/>
              </w:rPr>
              <w:t>cedural law and the relation</w:t>
            </w:r>
            <w:r w:rsidRPr="00916698">
              <w:rPr>
                <w:rStyle w:val="tlid-translation"/>
                <w:sz w:val="20"/>
                <w:szCs w:val="20"/>
                <w:lang w:val="en-GB"/>
              </w:rPr>
              <w:t xml:space="preserve"> between procedural actions and consequences in the various phase</w:t>
            </w:r>
            <w:r w:rsidR="002E741A" w:rsidRPr="00916698">
              <w:rPr>
                <w:rStyle w:val="tlid-translation"/>
                <w:sz w:val="20"/>
                <w:szCs w:val="20"/>
                <w:lang w:val="en-GB"/>
              </w:rPr>
              <w:t xml:space="preserve">s </w:t>
            </w:r>
            <w:r w:rsidR="007968F9">
              <w:rPr>
                <w:rStyle w:val="tlid-translation"/>
                <w:sz w:val="20"/>
                <w:szCs w:val="20"/>
                <w:lang w:val="en-GB"/>
              </w:rPr>
              <w:t>of the decision-making process</w:t>
            </w:r>
            <w:r w:rsidRPr="00916698">
              <w:rPr>
                <w:rStyle w:val="tlid-translation"/>
                <w:sz w:val="20"/>
                <w:szCs w:val="20"/>
                <w:lang w:val="en-GB"/>
              </w:rPr>
              <w:t xml:space="preserve"> of administrative bodies and the administr</w:t>
            </w:r>
            <w:r w:rsidR="00BE55CF" w:rsidRPr="00916698">
              <w:rPr>
                <w:rStyle w:val="tlid-translation"/>
                <w:sz w:val="20"/>
                <w:szCs w:val="20"/>
                <w:lang w:val="en-GB"/>
              </w:rPr>
              <w:t>ative judiciary in the enforcement</w:t>
            </w:r>
            <w:r w:rsidRPr="00916698">
              <w:rPr>
                <w:rStyle w:val="tlid-translation"/>
                <w:sz w:val="20"/>
                <w:szCs w:val="20"/>
                <w:lang w:val="en-GB"/>
              </w:rPr>
              <w:t xml:space="preserve"> of judicial supervision over administration.</w:t>
            </w:r>
            <w:r w:rsidR="00955EF7" w:rsidRPr="00916698">
              <w:rPr>
                <w:rStyle w:val="tlid-translation"/>
                <w:sz w:val="20"/>
                <w:szCs w:val="20"/>
                <w:lang w:val="en-GB"/>
              </w:rPr>
              <w:t xml:space="preserve"> </w:t>
            </w:r>
            <w:r w:rsidR="00A637F8" w:rsidRPr="00916698">
              <w:rPr>
                <w:rFonts w:cs="Calibri"/>
                <w:sz w:val="20"/>
                <w:szCs w:val="20"/>
                <w:lang w:val="en-GB"/>
              </w:rPr>
              <w:t>In this</w:t>
            </w:r>
            <w:r w:rsidR="00770E00" w:rsidRPr="00916698">
              <w:rPr>
                <w:rFonts w:cs="Calibri"/>
                <w:sz w:val="20"/>
                <w:szCs w:val="20"/>
                <w:lang w:val="en-GB"/>
              </w:rPr>
              <w:t xml:space="preserve"> </w:t>
            </w:r>
            <w:r w:rsidR="002E741A" w:rsidRPr="00916698">
              <w:rPr>
                <w:rFonts w:cs="Calibri"/>
                <w:sz w:val="20"/>
                <w:szCs w:val="20"/>
                <w:lang w:val="en-GB"/>
              </w:rPr>
              <w:t>context</w:t>
            </w:r>
            <w:r w:rsidR="00A637F8" w:rsidRPr="00916698">
              <w:rPr>
                <w:rFonts w:cs="Calibri"/>
                <w:sz w:val="20"/>
                <w:szCs w:val="20"/>
                <w:lang w:val="en-GB"/>
              </w:rPr>
              <w:t xml:space="preserve"> the</w:t>
            </w:r>
            <w:r w:rsidR="00770E00" w:rsidRPr="00916698">
              <w:rPr>
                <w:rFonts w:cs="Calibri"/>
                <w:sz w:val="20"/>
                <w:szCs w:val="20"/>
                <w:lang w:val="en-GB"/>
              </w:rPr>
              <w:t xml:space="preserve"> </w:t>
            </w:r>
            <w:r w:rsidR="00A637F8" w:rsidRPr="00916698">
              <w:rPr>
                <w:rFonts w:cs="Calibri"/>
                <w:sz w:val="20"/>
                <w:szCs w:val="20"/>
                <w:lang w:val="en-GB"/>
              </w:rPr>
              <w:t>student</w:t>
            </w:r>
            <w:r w:rsidR="00770E00" w:rsidRPr="00916698">
              <w:rPr>
                <w:rFonts w:cs="Calibri"/>
                <w:sz w:val="20"/>
                <w:szCs w:val="20"/>
                <w:lang w:val="en-GB"/>
              </w:rPr>
              <w:t xml:space="preserve"> </w:t>
            </w:r>
            <w:r w:rsidR="00A637F8" w:rsidRPr="00916698">
              <w:rPr>
                <w:rFonts w:cs="Calibri"/>
                <w:sz w:val="20"/>
                <w:szCs w:val="20"/>
                <w:lang w:val="en-GB"/>
              </w:rPr>
              <w:t>will be able to apply</w:t>
            </w:r>
            <w:r w:rsidR="00770E00" w:rsidRPr="00916698">
              <w:rPr>
                <w:rFonts w:cs="Calibri"/>
                <w:sz w:val="20"/>
                <w:szCs w:val="20"/>
                <w:lang w:val="en-GB"/>
              </w:rPr>
              <w:t xml:space="preserve"> </w:t>
            </w:r>
            <w:r w:rsidR="00A637F8" w:rsidRPr="00916698">
              <w:rPr>
                <w:rFonts w:cs="Calibri"/>
                <w:sz w:val="20"/>
                <w:szCs w:val="20"/>
                <w:lang w:val="en-GB"/>
              </w:rPr>
              <w:t>the</w:t>
            </w:r>
            <w:r w:rsidR="00770E00" w:rsidRPr="00916698">
              <w:rPr>
                <w:rFonts w:cs="Calibri"/>
                <w:sz w:val="20"/>
                <w:szCs w:val="20"/>
                <w:lang w:val="en-GB"/>
              </w:rPr>
              <w:t xml:space="preserve"> </w:t>
            </w:r>
            <w:r w:rsidR="00A637F8" w:rsidRPr="00916698">
              <w:rPr>
                <w:rFonts w:cs="Calibri"/>
                <w:sz w:val="20"/>
                <w:szCs w:val="20"/>
                <w:lang w:val="en-GB"/>
              </w:rPr>
              <w:t>current legal regulation</w:t>
            </w:r>
            <w:r w:rsidR="00770E00" w:rsidRPr="00916698">
              <w:rPr>
                <w:rFonts w:cs="Calibri"/>
                <w:sz w:val="20"/>
                <w:szCs w:val="20"/>
                <w:lang w:val="en-GB"/>
              </w:rPr>
              <w:t xml:space="preserve"> </w:t>
            </w:r>
            <w:r w:rsidR="00A637F8" w:rsidRPr="00916698">
              <w:rPr>
                <w:rFonts w:cs="Calibri"/>
                <w:sz w:val="20"/>
                <w:szCs w:val="20"/>
                <w:lang w:val="en-GB"/>
              </w:rPr>
              <w:t>arising</w:t>
            </w:r>
            <w:r w:rsidR="00770E00" w:rsidRPr="00916698">
              <w:rPr>
                <w:rFonts w:cs="Calibri"/>
                <w:sz w:val="20"/>
                <w:szCs w:val="20"/>
                <w:lang w:val="en-GB"/>
              </w:rPr>
              <w:t xml:space="preserve"> </w:t>
            </w:r>
            <w:r w:rsidR="00A637F8" w:rsidRPr="00916698">
              <w:rPr>
                <w:rFonts w:cs="Calibri"/>
                <w:sz w:val="20"/>
                <w:szCs w:val="20"/>
                <w:lang w:val="en-GB"/>
              </w:rPr>
              <w:t>from</w:t>
            </w:r>
            <w:r w:rsidR="00770E00" w:rsidRPr="00916698">
              <w:rPr>
                <w:rFonts w:cs="Calibri"/>
                <w:sz w:val="20"/>
                <w:szCs w:val="20"/>
                <w:lang w:val="en-GB"/>
              </w:rPr>
              <w:t xml:space="preserve"> </w:t>
            </w:r>
            <w:r w:rsidR="00A637F8" w:rsidRPr="00916698">
              <w:rPr>
                <w:rFonts w:cs="Calibri"/>
                <w:sz w:val="20"/>
                <w:szCs w:val="20"/>
                <w:lang w:val="en-GB"/>
              </w:rPr>
              <w:t>laws</w:t>
            </w:r>
            <w:r w:rsidR="00770E00" w:rsidRPr="00916698">
              <w:rPr>
                <w:rFonts w:cs="Calibri"/>
                <w:sz w:val="20"/>
                <w:szCs w:val="20"/>
                <w:lang w:val="en-GB"/>
              </w:rPr>
              <w:t xml:space="preserve"> </w:t>
            </w:r>
            <w:r w:rsidR="00A637F8" w:rsidRPr="00916698">
              <w:rPr>
                <w:rFonts w:cs="Calibri"/>
                <w:sz w:val="20"/>
                <w:szCs w:val="20"/>
                <w:lang w:val="en-GB"/>
              </w:rPr>
              <w:t>and</w:t>
            </w:r>
            <w:r w:rsidR="00770E00" w:rsidRPr="00916698">
              <w:rPr>
                <w:rFonts w:cs="Calibri"/>
                <w:sz w:val="20"/>
                <w:szCs w:val="20"/>
                <w:lang w:val="en-GB"/>
              </w:rPr>
              <w:t xml:space="preserve"> </w:t>
            </w:r>
            <w:r w:rsidR="00A637F8" w:rsidRPr="00916698">
              <w:rPr>
                <w:rFonts w:cs="Calibri"/>
                <w:sz w:val="20"/>
                <w:szCs w:val="20"/>
                <w:lang w:val="en-GB"/>
              </w:rPr>
              <w:t>case</w:t>
            </w:r>
            <w:r w:rsidR="00770E00" w:rsidRPr="00916698">
              <w:rPr>
                <w:rFonts w:cs="Calibri"/>
                <w:sz w:val="20"/>
                <w:szCs w:val="20"/>
                <w:lang w:val="en-GB"/>
              </w:rPr>
              <w:t xml:space="preserve"> </w:t>
            </w:r>
            <w:r w:rsidR="00A637F8" w:rsidRPr="00916698">
              <w:rPr>
                <w:rFonts w:cs="Calibri"/>
                <w:sz w:val="20"/>
                <w:szCs w:val="20"/>
                <w:lang w:val="en-GB"/>
              </w:rPr>
              <w:t>law as well as opening</w:t>
            </w:r>
            <w:r w:rsidR="00770E00" w:rsidRPr="00916698">
              <w:rPr>
                <w:rFonts w:cs="Calibri"/>
                <w:sz w:val="20"/>
                <w:szCs w:val="20"/>
                <w:lang w:val="en-GB"/>
              </w:rPr>
              <w:t xml:space="preserve"> </w:t>
            </w:r>
            <w:r w:rsidR="00A637F8" w:rsidRPr="00916698">
              <w:rPr>
                <w:rFonts w:cs="Calibri"/>
                <w:sz w:val="20"/>
                <w:szCs w:val="20"/>
                <w:lang w:val="en-GB"/>
              </w:rPr>
              <w:t>new</w:t>
            </w:r>
            <w:r w:rsidR="00770E00" w:rsidRPr="00916698">
              <w:rPr>
                <w:rFonts w:cs="Calibri"/>
                <w:sz w:val="20"/>
                <w:szCs w:val="20"/>
                <w:lang w:val="en-GB"/>
              </w:rPr>
              <w:t xml:space="preserve"> </w:t>
            </w:r>
            <w:r w:rsidR="00A637F8" w:rsidRPr="00916698">
              <w:rPr>
                <w:rFonts w:cs="Calibri"/>
                <w:sz w:val="20"/>
                <w:szCs w:val="20"/>
                <w:lang w:val="en-GB"/>
              </w:rPr>
              <w:t>issues</w:t>
            </w:r>
            <w:r w:rsidR="00770E00" w:rsidRPr="00916698">
              <w:rPr>
                <w:rFonts w:cs="Calibri"/>
                <w:sz w:val="20"/>
                <w:szCs w:val="20"/>
                <w:lang w:val="en-GB"/>
              </w:rPr>
              <w:t xml:space="preserve"> </w:t>
            </w:r>
            <w:r w:rsidR="00A637F8" w:rsidRPr="00916698">
              <w:rPr>
                <w:rFonts w:cs="Calibri"/>
                <w:sz w:val="20"/>
                <w:szCs w:val="20"/>
                <w:lang w:val="en-GB"/>
              </w:rPr>
              <w:t>and</w:t>
            </w:r>
            <w:r w:rsidR="00770E00" w:rsidRPr="00916698">
              <w:rPr>
                <w:rFonts w:cs="Calibri"/>
                <w:sz w:val="20"/>
                <w:szCs w:val="20"/>
                <w:lang w:val="en-GB"/>
              </w:rPr>
              <w:t xml:space="preserve"> </w:t>
            </w:r>
            <w:r w:rsidR="00A637F8" w:rsidRPr="00916698">
              <w:rPr>
                <w:rFonts w:cs="Calibri"/>
                <w:sz w:val="20"/>
                <w:szCs w:val="20"/>
                <w:lang w:val="en-GB"/>
              </w:rPr>
              <w:t>approaches</w:t>
            </w:r>
            <w:r w:rsidR="00770E00" w:rsidRPr="00916698">
              <w:rPr>
                <w:rFonts w:cs="Calibri"/>
                <w:sz w:val="20"/>
                <w:szCs w:val="20"/>
                <w:lang w:val="en-GB"/>
              </w:rPr>
              <w:t xml:space="preserve"> </w:t>
            </w:r>
            <w:r w:rsidR="00A637F8" w:rsidRPr="00916698">
              <w:rPr>
                <w:rFonts w:cs="Calibri"/>
                <w:sz w:val="20"/>
                <w:szCs w:val="20"/>
                <w:lang w:val="en-GB"/>
              </w:rPr>
              <w:t>that</w:t>
            </w:r>
            <w:r w:rsidR="00770E00" w:rsidRPr="00916698">
              <w:rPr>
                <w:rFonts w:cs="Calibri"/>
                <w:sz w:val="20"/>
                <w:szCs w:val="20"/>
                <w:lang w:val="en-GB"/>
              </w:rPr>
              <w:t xml:space="preserve"> </w:t>
            </w:r>
            <w:r w:rsidR="00A637F8" w:rsidRPr="00916698">
              <w:rPr>
                <w:rFonts w:cs="Calibri"/>
                <w:sz w:val="20"/>
                <w:szCs w:val="20"/>
                <w:lang w:val="en-GB"/>
              </w:rPr>
              <w:t>will</w:t>
            </w:r>
            <w:r w:rsidR="00770E00" w:rsidRPr="00916698">
              <w:rPr>
                <w:rFonts w:cs="Calibri"/>
                <w:sz w:val="20"/>
                <w:szCs w:val="20"/>
                <w:lang w:val="en-GB"/>
              </w:rPr>
              <w:t xml:space="preserve"> </w:t>
            </w:r>
            <w:r w:rsidR="00A637F8" w:rsidRPr="00916698">
              <w:rPr>
                <w:rFonts w:cs="Calibri"/>
                <w:sz w:val="20"/>
                <w:szCs w:val="20"/>
                <w:lang w:val="en-GB"/>
              </w:rPr>
              <w:t>represent a novelty in this</w:t>
            </w:r>
            <w:r w:rsidR="00770E00" w:rsidRPr="00916698">
              <w:rPr>
                <w:rFonts w:cs="Calibri"/>
                <w:sz w:val="20"/>
                <w:szCs w:val="20"/>
                <w:lang w:val="en-GB"/>
              </w:rPr>
              <w:t xml:space="preserve"> </w:t>
            </w:r>
            <w:r w:rsidR="00A637F8" w:rsidRPr="00916698">
              <w:rPr>
                <w:rFonts w:cs="Calibri"/>
                <w:sz w:val="20"/>
                <w:szCs w:val="20"/>
                <w:lang w:val="en-GB"/>
              </w:rPr>
              <w:t>field</w:t>
            </w:r>
            <w:r w:rsidR="00770E00" w:rsidRPr="00916698">
              <w:rPr>
                <w:rFonts w:cs="Calibri"/>
                <w:sz w:val="20"/>
                <w:szCs w:val="20"/>
                <w:lang w:val="en-GB"/>
              </w:rPr>
              <w:t xml:space="preserve"> </w:t>
            </w:r>
            <w:r w:rsidR="00A637F8" w:rsidRPr="00916698">
              <w:rPr>
                <w:rFonts w:cs="Calibri"/>
                <w:sz w:val="20"/>
                <w:szCs w:val="20"/>
                <w:lang w:val="en-GB"/>
              </w:rPr>
              <w:t>of legal functioning.</w:t>
            </w:r>
          </w:p>
          <w:p w14:paraId="67EBC80A" w14:textId="77777777" w:rsidR="00955EF7" w:rsidRPr="00916698" w:rsidRDefault="00955EF7" w:rsidP="00A15561">
            <w:pPr>
              <w:jc w:val="both"/>
              <w:rPr>
                <w:rFonts w:cs="Calibri"/>
                <w:sz w:val="20"/>
                <w:szCs w:val="20"/>
                <w:lang w:val="en-GB"/>
              </w:rPr>
            </w:pPr>
          </w:p>
          <w:p w14:paraId="5B6615DA" w14:textId="77777777" w:rsidR="00DD7A06" w:rsidRPr="00916698" w:rsidRDefault="00DD7A06" w:rsidP="00A15561">
            <w:pPr>
              <w:jc w:val="both"/>
              <w:rPr>
                <w:rFonts w:cs="Calibri"/>
                <w:sz w:val="20"/>
                <w:szCs w:val="20"/>
                <w:lang w:val="en-GB"/>
              </w:rPr>
            </w:pPr>
            <w:r w:rsidRPr="00916698">
              <w:rPr>
                <w:rFonts w:cs="Calibri"/>
                <w:sz w:val="20"/>
                <w:szCs w:val="20"/>
                <w:lang w:val="en-GB"/>
              </w:rPr>
              <w:t>The</w:t>
            </w:r>
            <w:r w:rsidR="00770E00" w:rsidRPr="00916698">
              <w:rPr>
                <w:rFonts w:cs="Calibri"/>
                <w:sz w:val="20"/>
                <w:szCs w:val="20"/>
                <w:lang w:val="en-GB"/>
              </w:rPr>
              <w:t xml:space="preserve"> </w:t>
            </w:r>
            <w:r w:rsidRPr="00916698">
              <w:rPr>
                <w:rFonts w:cs="Calibri"/>
                <w:sz w:val="20"/>
                <w:szCs w:val="20"/>
                <w:lang w:val="en-GB"/>
              </w:rPr>
              <w:t>acquired</w:t>
            </w:r>
            <w:r w:rsidR="00770E00" w:rsidRPr="00916698">
              <w:rPr>
                <w:rFonts w:cs="Calibri"/>
                <w:sz w:val="20"/>
                <w:szCs w:val="20"/>
                <w:lang w:val="en-GB"/>
              </w:rPr>
              <w:t xml:space="preserve"> </w:t>
            </w:r>
            <w:r w:rsidRPr="00916698">
              <w:rPr>
                <w:rFonts w:cs="Calibri"/>
                <w:sz w:val="20"/>
                <w:szCs w:val="20"/>
                <w:lang w:val="en-GB"/>
              </w:rPr>
              <w:t>knowledge</w:t>
            </w:r>
            <w:r w:rsidR="00770E00" w:rsidRPr="00916698">
              <w:rPr>
                <w:rFonts w:cs="Calibri"/>
                <w:sz w:val="20"/>
                <w:szCs w:val="20"/>
                <w:lang w:val="en-GB"/>
              </w:rPr>
              <w:t xml:space="preserve"> </w:t>
            </w:r>
            <w:r w:rsidRPr="00916698">
              <w:rPr>
                <w:rFonts w:cs="Calibri"/>
                <w:sz w:val="20"/>
                <w:szCs w:val="20"/>
                <w:lang w:val="en-GB"/>
              </w:rPr>
              <w:t>will be useful</w:t>
            </w:r>
            <w:r w:rsidR="00770E00" w:rsidRPr="00916698">
              <w:rPr>
                <w:rFonts w:cs="Calibri"/>
                <w:sz w:val="20"/>
                <w:szCs w:val="20"/>
                <w:lang w:val="en-GB"/>
              </w:rPr>
              <w:t xml:space="preserve"> </w:t>
            </w:r>
            <w:r w:rsidRPr="00916698">
              <w:rPr>
                <w:rFonts w:cs="Calibri"/>
                <w:sz w:val="20"/>
                <w:szCs w:val="20"/>
                <w:lang w:val="en-GB"/>
              </w:rPr>
              <w:t>for</w:t>
            </w:r>
            <w:r w:rsidR="00770E00" w:rsidRPr="00916698">
              <w:rPr>
                <w:rFonts w:cs="Calibri"/>
                <w:sz w:val="20"/>
                <w:szCs w:val="20"/>
                <w:lang w:val="en-GB"/>
              </w:rPr>
              <w:t xml:space="preserve"> </w:t>
            </w:r>
            <w:r w:rsidRPr="00916698">
              <w:rPr>
                <w:rFonts w:cs="Calibri"/>
                <w:sz w:val="20"/>
                <w:szCs w:val="20"/>
                <w:lang w:val="en-GB"/>
              </w:rPr>
              <w:t>decision</w:t>
            </w:r>
            <w:r w:rsidR="00770E00" w:rsidRPr="00916698">
              <w:rPr>
                <w:rFonts w:cs="Calibri"/>
                <w:sz w:val="20"/>
                <w:szCs w:val="20"/>
                <w:lang w:val="en-GB"/>
              </w:rPr>
              <w:t xml:space="preserve"> </w:t>
            </w:r>
            <w:r w:rsidRPr="00916698">
              <w:rPr>
                <w:rFonts w:cs="Calibri"/>
                <w:sz w:val="20"/>
                <w:szCs w:val="20"/>
                <w:lang w:val="en-GB"/>
              </w:rPr>
              <w:t>makers in administrative and administrative judicial</w:t>
            </w:r>
            <w:r w:rsidR="00770E00" w:rsidRPr="00916698">
              <w:rPr>
                <w:rFonts w:cs="Calibri"/>
                <w:sz w:val="20"/>
                <w:szCs w:val="20"/>
                <w:lang w:val="en-GB"/>
              </w:rPr>
              <w:t xml:space="preserve"> </w:t>
            </w:r>
            <w:r w:rsidR="002E741A" w:rsidRPr="00916698">
              <w:rPr>
                <w:rFonts w:cs="Calibri"/>
                <w:sz w:val="20"/>
                <w:szCs w:val="20"/>
                <w:lang w:val="en-GB"/>
              </w:rPr>
              <w:t>matters</w:t>
            </w:r>
            <w:r w:rsidRPr="00916698">
              <w:rPr>
                <w:rFonts w:cs="Calibri"/>
                <w:sz w:val="20"/>
                <w:szCs w:val="20"/>
                <w:lang w:val="en-GB"/>
              </w:rPr>
              <w:t xml:space="preserve"> as well as for</w:t>
            </w:r>
            <w:r w:rsidR="00770E00" w:rsidRPr="00916698">
              <w:rPr>
                <w:rFonts w:cs="Calibri"/>
                <w:sz w:val="20"/>
                <w:szCs w:val="20"/>
                <w:lang w:val="en-GB"/>
              </w:rPr>
              <w:t xml:space="preserve"> </w:t>
            </w:r>
            <w:r w:rsidRPr="00916698">
              <w:rPr>
                <w:rFonts w:cs="Calibri"/>
                <w:sz w:val="20"/>
                <w:szCs w:val="20"/>
                <w:lang w:val="en-GB"/>
              </w:rPr>
              <w:t>cases</w:t>
            </w:r>
            <w:r w:rsidR="00770E00" w:rsidRPr="00916698">
              <w:rPr>
                <w:rFonts w:cs="Calibri"/>
                <w:sz w:val="20"/>
                <w:szCs w:val="20"/>
                <w:lang w:val="en-GB"/>
              </w:rPr>
              <w:t xml:space="preserve"> </w:t>
            </w:r>
            <w:r w:rsidRPr="00916698">
              <w:rPr>
                <w:rFonts w:cs="Calibri"/>
                <w:sz w:val="20"/>
                <w:szCs w:val="20"/>
                <w:lang w:val="en-GB"/>
              </w:rPr>
              <w:t>of</w:t>
            </w:r>
            <w:r w:rsidR="00770E00" w:rsidRPr="00916698">
              <w:rPr>
                <w:rFonts w:cs="Calibri"/>
                <w:sz w:val="20"/>
                <w:szCs w:val="20"/>
                <w:lang w:val="en-GB"/>
              </w:rPr>
              <w:t xml:space="preserve"> </w:t>
            </w:r>
            <w:r w:rsidRPr="00916698">
              <w:rPr>
                <w:rFonts w:cs="Calibri"/>
                <w:sz w:val="20"/>
                <w:szCs w:val="20"/>
                <w:lang w:val="en-GB"/>
              </w:rPr>
              <w:t>representation</w:t>
            </w:r>
            <w:r w:rsidR="00770E00" w:rsidRPr="00916698">
              <w:rPr>
                <w:rFonts w:cs="Calibri"/>
                <w:sz w:val="20"/>
                <w:szCs w:val="20"/>
                <w:lang w:val="en-GB"/>
              </w:rPr>
              <w:t xml:space="preserve"> </w:t>
            </w:r>
            <w:r w:rsidRPr="00916698">
              <w:rPr>
                <w:rFonts w:cs="Calibri"/>
                <w:sz w:val="20"/>
                <w:szCs w:val="20"/>
                <w:lang w:val="en-GB"/>
              </w:rPr>
              <w:t>of</w:t>
            </w:r>
            <w:r w:rsidR="00770E00" w:rsidRPr="00916698">
              <w:rPr>
                <w:rFonts w:cs="Calibri"/>
                <w:sz w:val="20"/>
                <w:szCs w:val="20"/>
                <w:lang w:val="en-GB"/>
              </w:rPr>
              <w:t xml:space="preserve"> </w:t>
            </w:r>
            <w:r w:rsidRPr="00916698">
              <w:rPr>
                <w:rFonts w:cs="Calibri"/>
                <w:sz w:val="20"/>
                <w:szCs w:val="20"/>
                <w:lang w:val="en-GB"/>
              </w:rPr>
              <w:t>public</w:t>
            </w:r>
            <w:r w:rsidR="00770E00" w:rsidRPr="00916698">
              <w:rPr>
                <w:rFonts w:cs="Calibri"/>
                <w:sz w:val="20"/>
                <w:szCs w:val="20"/>
                <w:lang w:val="en-GB"/>
              </w:rPr>
              <w:t xml:space="preserve"> </w:t>
            </w:r>
            <w:r w:rsidRPr="00916698">
              <w:rPr>
                <w:rFonts w:cs="Calibri"/>
                <w:sz w:val="20"/>
                <w:szCs w:val="20"/>
                <w:lang w:val="en-GB"/>
              </w:rPr>
              <w:t>or</w:t>
            </w:r>
            <w:r w:rsidR="00770E00" w:rsidRPr="00916698">
              <w:rPr>
                <w:rFonts w:cs="Calibri"/>
                <w:sz w:val="20"/>
                <w:szCs w:val="20"/>
                <w:lang w:val="en-GB"/>
              </w:rPr>
              <w:t xml:space="preserve"> </w:t>
            </w:r>
            <w:r w:rsidRPr="00916698">
              <w:rPr>
                <w:rFonts w:cs="Calibri"/>
                <w:sz w:val="20"/>
                <w:szCs w:val="20"/>
                <w:lang w:val="en-GB"/>
              </w:rPr>
              <w:t>private</w:t>
            </w:r>
            <w:r w:rsidR="00770E00" w:rsidRPr="00916698">
              <w:rPr>
                <w:rFonts w:cs="Calibri"/>
                <w:sz w:val="20"/>
                <w:szCs w:val="20"/>
                <w:lang w:val="en-GB"/>
              </w:rPr>
              <w:t xml:space="preserve"> </w:t>
            </w:r>
            <w:r w:rsidRPr="00916698">
              <w:rPr>
                <w:rFonts w:cs="Calibri"/>
                <w:sz w:val="20"/>
                <w:szCs w:val="20"/>
                <w:lang w:val="en-GB"/>
              </w:rPr>
              <w:t>sector</w:t>
            </w:r>
            <w:r w:rsidR="00770E00" w:rsidRPr="00916698">
              <w:rPr>
                <w:rFonts w:cs="Calibri"/>
                <w:sz w:val="20"/>
                <w:szCs w:val="20"/>
                <w:lang w:val="en-GB"/>
              </w:rPr>
              <w:t xml:space="preserve"> </w:t>
            </w:r>
            <w:r w:rsidRPr="00916698">
              <w:rPr>
                <w:rFonts w:cs="Calibri"/>
                <w:sz w:val="20"/>
                <w:szCs w:val="20"/>
                <w:lang w:val="en-GB"/>
              </w:rPr>
              <w:t>entities</w:t>
            </w:r>
            <w:r w:rsidR="00770E00" w:rsidRPr="00916698">
              <w:rPr>
                <w:rFonts w:cs="Calibri"/>
                <w:sz w:val="20"/>
                <w:szCs w:val="20"/>
                <w:lang w:val="en-GB"/>
              </w:rPr>
              <w:t xml:space="preserve"> </w:t>
            </w:r>
            <w:r w:rsidRPr="00916698">
              <w:rPr>
                <w:rFonts w:cs="Calibri"/>
                <w:sz w:val="20"/>
                <w:szCs w:val="20"/>
                <w:lang w:val="en-GB"/>
              </w:rPr>
              <w:t>that</w:t>
            </w:r>
            <w:r w:rsidR="00770E00" w:rsidRPr="00916698">
              <w:rPr>
                <w:rFonts w:cs="Calibri"/>
                <w:sz w:val="20"/>
                <w:szCs w:val="20"/>
                <w:lang w:val="en-GB"/>
              </w:rPr>
              <w:t xml:space="preserve"> </w:t>
            </w:r>
            <w:r w:rsidRPr="00916698">
              <w:rPr>
                <w:rFonts w:cs="Calibri"/>
                <w:sz w:val="20"/>
                <w:szCs w:val="20"/>
                <w:lang w:val="en-GB"/>
              </w:rPr>
              <w:t>participate in those</w:t>
            </w:r>
            <w:r w:rsidR="00770E00" w:rsidRPr="00916698">
              <w:rPr>
                <w:rFonts w:cs="Calibri"/>
                <w:sz w:val="20"/>
                <w:szCs w:val="20"/>
                <w:lang w:val="en-GB"/>
              </w:rPr>
              <w:t xml:space="preserve"> </w:t>
            </w:r>
            <w:r w:rsidRPr="00916698">
              <w:rPr>
                <w:rFonts w:cs="Calibri"/>
                <w:sz w:val="20"/>
                <w:szCs w:val="20"/>
                <w:lang w:val="en-GB"/>
              </w:rPr>
              <w:t>procedures.</w:t>
            </w:r>
          </w:p>
          <w:p w14:paraId="76612D73" w14:textId="77777777" w:rsidR="00955EF7" w:rsidRPr="00916698" w:rsidRDefault="00955EF7" w:rsidP="00A15561">
            <w:pPr>
              <w:jc w:val="both"/>
              <w:rPr>
                <w:rFonts w:cs="Calibri"/>
                <w:sz w:val="20"/>
                <w:szCs w:val="20"/>
                <w:lang w:val="en-GB"/>
              </w:rPr>
            </w:pPr>
          </w:p>
          <w:p w14:paraId="09198C24" w14:textId="77777777" w:rsidR="00A637F8" w:rsidRDefault="004F152F" w:rsidP="00A15561">
            <w:pPr>
              <w:jc w:val="both"/>
              <w:rPr>
                <w:rFonts w:cs="Calibri"/>
                <w:sz w:val="20"/>
                <w:szCs w:val="20"/>
                <w:lang w:val="en-GB"/>
              </w:rPr>
            </w:pPr>
            <w:r w:rsidRPr="00916698">
              <w:rPr>
                <w:rFonts w:cs="Calibri"/>
                <w:sz w:val="20"/>
                <w:szCs w:val="20"/>
                <w:lang w:val="en-GB"/>
              </w:rPr>
              <w:t>Both written</w:t>
            </w:r>
            <w:r w:rsidR="00770E00" w:rsidRPr="00916698">
              <w:rPr>
                <w:rFonts w:cs="Calibri"/>
                <w:sz w:val="20"/>
                <w:szCs w:val="20"/>
                <w:lang w:val="en-GB"/>
              </w:rPr>
              <w:t xml:space="preserve"> </w:t>
            </w:r>
            <w:r w:rsidRPr="00916698">
              <w:rPr>
                <w:rFonts w:cs="Calibri"/>
                <w:sz w:val="20"/>
                <w:szCs w:val="20"/>
                <w:lang w:val="en-GB"/>
              </w:rPr>
              <w:t>and oral presenting</w:t>
            </w:r>
            <w:r w:rsidR="00770E00" w:rsidRPr="00916698">
              <w:rPr>
                <w:rFonts w:cs="Calibri"/>
                <w:sz w:val="20"/>
                <w:szCs w:val="20"/>
                <w:lang w:val="en-GB"/>
              </w:rPr>
              <w:t xml:space="preserve"> </w:t>
            </w:r>
            <w:r w:rsidRPr="00916698">
              <w:rPr>
                <w:rFonts w:cs="Calibri"/>
                <w:sz w:val="20"/>
                <w:szCs w:val="20"/>
                <w:lang w:val="en-GB"/>
              </w:rPr>
              <w:t>of legal argumentation</w:t>
            </w:r>
            <w:r w:rsidR="00770E00" w:rsidRPr="00916698">
              <w:rPr>
                <w:rFonts w:cs="Calibri"/>
                <w:sz w:val="20"/>
                <w:szCs w:val="20"/>
                <w:lang w:val="en-GB"/>
              </w:rPr>
              <w:t xml:space="preserve"> </w:t>
            </w:r>
            <w:r w:rsidRPr="00916698">
              <w:rPr>
                <w:rFonts w:cs="Calibri"/>
                <w:sz w:val="20"/>
                <w:szCs w:val="20"/>
                <w:lang w:val="en-GB"/>
              </w:rPr>
              <w:t>and</w:t>
            </w:r>
            <w:r w:rsidR="00770E00" w:rsidRPr="00916698">
              <w:rPr>
                <w:rFonts w:cs="Calibri"/>
                <w:sz w:val="20"/>
                <w:szCs w:val="20"/>
                <w:lang w:val="en-GB"/>
              </w:rPr>
              <w:t xml:space="preserve"> </w:t>
            </w:r>
            <w:r w:rsidRPr="00916698">
              <w:rPr>
                <w:rFonts w:cs="Calibri"/>
                <w:sz w:val="20"/>
                <w:szCs w:val="20"/>
                <w:lang w:val="en-GB"/>
              </w:rPr>
              <w:t>interpretation, the</w:t>
            </w:r>
            <w:r w:rsidR="00770E00" w:rsidRPr="00916698">
              <w:rPr>
                <w:rFonts w:cs="Calibri"/>
                <w:sz w:val="20"/>
                <w:szCs w:val="20"/>
                <w:lang w:val="en-GB"/>
              </w:rPr>
              <w:t xml:space="preserve"> </w:t>
            </w:r>
            <w:r w:rsidRPr="00916698">
              <w:rPr>
                <w:rFonts w:cs="Calibri"/>
                <w:sz w:val="20"/>
                <w:szCs w:val="20"/>
                <w:lang w:val="en-GB"/>
              </w:rPr>
              <w:t>possibility</w:t>
            </w:r>
            <w:r w:rsidR="00770E00" w:rsidRPr="00916698">
              <w:rPr>
                <w:rFonts w:cs="Calibri"/>
                <w:sz w:val="20"/>
                <w:szCs w:val="20"/>
                <w:lang w:val="en-GB"/>
              </w:rPr>
              <w:t xml:space="preserve"> </w:t>
            </w:r>
            <w:r w:rsidRPr="00916698">
              <w:rPr>
                <w:rFonts w:cs="Calibri"/>
                <w:sz w:val="20"/>
                <w:szCs w:val="20"/>
                <w:lang w:val="en-GB"/>
              </w:rPr>
              <w:t>of</w:t>
            </w:r>
            <w:r w:rsidR="00770E00" w:rsidRPr="00916698">
              <w:rPr>
                <w:rFonts w:cs="Calibri"/>
                <w:sz w:val="20"/>
                <w:szCs w:val="20"/>
                <w:lang w:val="en-GB"/>
              </w:rPr>
              <w:t xml:space="preserve"> </w:t>
            </w:r>
            <w:r w:rsidRPr="00916698">
              <w:rPr>
                <w:rFonts w:cs="Calibri"/>
                <w:sz w:val="20"/>
                <w:szCs w:val="20"/>
                <w:lang w:val="en-GB"/>
              </w:rPr>
              <w:t>creating</w:t>
            </w:r>
            <w:r w:rsidR="00770E00" w:rsidRPr="00916698">
              <w:rPr>
                <w:rFonts w:cs="Calibri"/>
                <w:sz w:val="20"/>
                <w:szCs w:val="20"/>
                <w:lang w:val="en-GB"/>
              </w:rPr>
              <w:t xml:space="preserve"> </w:t>
            </w:r>
            <w:r w:rsidRPr="00916698">
              <w:rPr>
                <w:rFonts w:cs="Calibri"/>
                <w:sz w:val="20"/>
                <w:szCs w:val="20"/>
                <w:lang w:val="en-GB"/>
              </w:rPr>
              <w:t>and</w:t>
            </w:r>
            <w:r w:rsidR="00770E00" w:rsidRPr="00916698">
              <w:rPr>
                <w:rFonts w:cs="Calibri"/>
                <w:sz w:val="20"/>
                <w:szCs w:val="20"/>
                <w:lang w:val="en-GB"/>
              </w:rPr>
              <w:t xml:space="preserve"> </w:t>
            </w:r>
            <w:r w:rsidRPr="00916698">
              <w:rPr>
                <w:rFonts w:cs="Calibri"/>
                <w:sz w:val="20"/>
                <w:szCs w:val="20"/>
                <w:lang w:val="en-GB"/>
              </w:rPr>
              <w:t>understanding</w:t>
            </w:r>
            <w:r w:rsidR="00770E00" w:rsidRPr="00916698">
              <w:rPr>
                <w:rFonts w:cs="Calibri"/>
                <w:sz w:val="20"/>
                <w:szCs w:val="20"/>
                <w:lang w:val="en-GB"/>
              </w:rPr>
              <w:t xml:space="preserve"> </w:t>
            </w:r>
            <w:r w:rsidRPr="00916698">
              <w:rPr>
                <w:rFonts w:cs="Calibri"/>
                <w:sz w:val="20"/>
                <w:szCs w:val="20"/>
                <w:lang w:val="en-GB"/>
              </w:rPr>
              <w:t>the</w:t>
            </w:r>
            <w:r w:rsidR="00770E00" w:rsidRPr="00916698">
              <w:rPr>
                <w:rFonts w:cs="Calibri"/>
                <w:sz w:val="20"/>
                <w:szCs w:val="20"/>
                <w:lang w:val="en-GB"/>
              </w:rPr>
              <w:t xml:space="preserve"> </w:t>
            </w:r>
            <w:r w:rsidRPr="00916698">
              <w:rPr>
                <w:rFonts w:cs="Calibri"/>
                <w:sz w:val="20"/>
                <w:szCs w:val="20"/>
                <w:lang w:val="en-GB"/>
              </w:rPr>
              <w:t>consequences</w:t>
            </w:r>
            <w:r w:rsidR="00770E00" w:rsidRPr="00916698">
              <w:rPr>
                <w:rFonts w:cs="Calibri"/>
                <w:sz w:val="20"/>
                <w:szCs w:val="20"/>
                <w:lang w:val="en-GB"/>
              </w:rPr>
              <w:t xml:space="preserve"> </w:t>
            </w:r>
            <w:r w:rsidRPr="00916698">
              <w:rPr>
                <w:rFonts w:cs="Calibri"/>
                <w:sz w:val="20"/>
                <w:szCs w:val="20"/>
                <w:lang w:val="en-GB"/>
              </w:rPr>
              <w:t>of</w:t>
            </w:r>
            <w:r w:rsidR="00770E00" w:rsidRPr="00916698">
              <w:rPr>
                <w:rFonts w:cs="Calibri"/>
                <w:sz w:val="20"/>
                <w:szCs w:val="20"/>
                <w:lang w:val="en-GB"/>
              </w:rPr>
              <w:t xml:space="preserve"> </w:t>
            </w:r>
            <w:r w:rsidRPr="00916698">
              <w:rPr>
                <w:rFonts w:cs="Calibri"/>
                <w:sz w:val="20"/>
                <w:szCs w:val="20"/>
                <w:lang w:val="en-GB"/>
              </w:rPr>
              <w:t>procedural</w:t>
            </w:r>
            <w:r w:rsidR="00770E00" w:rsidRPr="00916698">
              <w:rPr>
                <w:rFonts w:cs="Calibri"/>
                <w:sz w:val="20"/>
                <w:szCs w:val="20"/>
                <w:lang w:val="en-GB"/>
              </w:rPr>
              <w:t xml:space="preserve"> </w:t>
            </w:r>
            <w:r w:rsidRPr="00916698">
              <w:rPr>
                <w:rFonts w:cs="Calibri"/>
                <w:sz w:val="20"/>
                <w:szCs w:val="20"/>
                <w:lang w:val="en-GB"/>
              </w:rPr>
              <w:t>acts</w:t>
            </w:r>
            <w:r w:rsidR="00770E00" w:rsidRPr="00916698">
              <w:rPr>
                <w:rFonts w:cs="Calibri"/>
                <w:sz w:val="20"/>
                <w:szCs w:val="20"/>
                <w:lang w:val="en-GB"/>
              </w:rPr>
              <w:t xml:space="preserve"> </w:t>
            </w:r>
            <w:r w:rsidRPr="00916698">
              <w:rPr>
                <w:rFonts w:cs="Calibri"/>
                <w:sz w:val="20"/>
                <w:szCs w:val="20"/>
                <w:lang w:val="en-GB"/>
              </w:rPr>
              <w:t>and legal consequences, the</w:t>
            </w:r>
            <w:r w:rsidR="00770E00" w:rsidRPr="00916698">
              <w:rPr>
                <w:rFonts w:cs="Calibri"/>
                <w:sz w:val="20"/>
                <w:szCs w:val="20"/>
                <w:lang w:val="en-GB"/>
              </w:rPr>
              <w:t xml:space="preserve"> </w:t>
            </w:r>
            <w:r w:rsidRPr="00916698">
              <w:rPr>
                <w:rFonts w:cs="Calibri"/>
                <w:sz w:val="20"/>
                <w:szCs w:val="20"/>
                <w:lang w:val="en-GB"/>
              </w:rPr>
              <w:t>production</w:t>
            </w:r>
            <w:r w:rsidR="00770E00" w:rsidRPr="00916698">
              <w:rPr>
                <w:rFonts w:cs="Calibri"/>
                <w:sz w:val="20"/>
                <w:szCs w:val="20"/>
                <w:lang w:val="en-GB"/>
              </w:rPr>
              <w:t xml:space="preserve"> </w:t>
            </w:r>
            <w:r w:rsidRPr="00916698">
              <w:rPr>
                <w:rFonts w:cs="Calibri"/>
                <w:sz w:val="20"/>
                <w:szCs w:val="20"/>
                <w:lang w:val="en-GB"/>
              </w:rPr>
              <w:t>of</w:t>
            </w:r>
            <w:r w:rsidR="00770E00" w:rsidRPr="00916698">
              <w:rPr>
                <w:rFonts w:cs="Calibri"/>
                <w:sz w:val="20"/>
                <w:szCs w:val="20"/>
                <w:lang w:val="en-GB"/>
              </w:rPr>
              <w:t xml:space="preserve"> </w:t>
            </w:r>
            <w:r w:rsidRPr="00916698">
              <w:rPr>
                <w:rFonts w:cs="Calibri"/>
                <w:sz w:val="20"/>
                <w:szCs w:val="20"/>
                <w:lang w:val="en-GB"/>
              </w:rPr>
              <w:t>procedural</w:t>
            </w:r>
            <w:r w:rsidR="00770E00" w:rsidRPr="00916698">
              <w:rPr>
                <w:rFonts w:cs="Calibri"/>
                <w:sz w:val="20"/>
                <w:szCs w:val="20"/>
                <w:lang w:val="en-GB"/>
              </w:rPr>
              <w:t xml:space="preserve"> </w:t>
            </w:r>
            <w:r w:rsidRPr="00916698">
              <w:rPr>
                <w:rFonts w:cs="Calibri"/>
                <w:sz w:val="20"/>
                <w:szCs w:val="20"/>
                <w:lang w:val="en-GB"/>
              </w:rPr>
              <w:t>applications</w:t>
            </w:r>
            <w:r w:rsidR="00770E00" w:rsidRPr="00916698">
              <w:rPr>
                <w:rFonts w:cs="Calibri"/>
                <w:sz w:val="20"/>
                <w:szCs w:val="20"/>
                <w:lang w:val="en-GB"/>
              </w:rPr>
              <w:t xml:space="preserve"> </w:t>
            </w:r>
            <w:r w:rsidRPr="00916698">
              <w:rPr>
                <w:rFonts w:cs="Calibri"/>
                <w:sz w:val="20"/>
                <w:szCs w:val="20"/>
                <w:lang w:val="en-GB"/>
              </w:rPr>
              <w:t>and</w:t>
            </w:r>
            <w:r w:rsidR="00770E00" w:rsidRPr="00916698">
              <w:rPr>
                <w:rFonts w:cs="Calibri"/>
                <w:sz w:val="20"/>
                <w:szCs w:val="20"/>
                <w:lang w:val="en-GB"/>
              </w:rPr>
              <w:t xml:space="preserve"> </w:t>
            </w:r>
            <w:r w:rsidRPr="00916698">
              <w:rPr>
                <w:rFonts w:cs="Calibri"/>
                <w:sz w:val="20"/>
                <w:szCs w:val="20"/>
                <w:lang w:val="en-GB"/>
              </w:rPr>
              <w:t>acts in proceedings.</w:t>
            </w:r>
          </w:p>
          <w:p w14:paraId="34220231" w14:textId="77777777" w:rsidR="00955EF7" w:rsidRPr="00955EF7" w:rsidRDefault="00955EF7" w:rsidP="00A15561">
            <w:pPr>
              <w:jc w:val="both"/>
              <w:rPr>
                <w:rFonts w:cs="Calibri"/>
                <w:sz w:val="20"/>
                <w:szCs w:val="20"/>
                <w:lang w:val="en-GB"/>
              </w:rPr>
            </w:pPr>
          </w:p>
          <w:p w14:paraId="17BAE5B9" w14:textId="77777777" w:rsidR="00A15561" w:rsidRPr="00955EF7" w:rsidRDefault="00A15561" w:rsidP="00A15561">
            <w:pPr>
              <w:jc w:val="both"/>
              <w:rPr>
                <w:sz w:val="20"/>
                <w:szCs w:val="20"/>
                <w:lang w:val="en-GB"/>
              </w:rPr>
            </w:pPr>
            <w:r w:rsidRPr="001E1BDB">
              <w:rPr>
                <w:sz w:val="20"/>
                <w:szCs w:val="20"/>
                <w:lang w:val="en-GB"/>
              </w:rPr>
              <w:t>The</w:t>
            </w:r>
            <w:r w:rsidR="00770E00" w:rsidRPr="001E1BDB">
              <w:rPr>
                <w:sz w:val="20"/>
                <w:szCs w:val="20"/>
                <w:lang w:val="en-GB"/>
              </w:rPr>
              <w:t xml:space="preserve"> </w:t>
            </w:r>
            <w:r w:rsidRPr="001E1BDB">
              <w:rPr>
                <w:sz w:val="20"/>
                <w:szCs w:val="20"/>
                <w:lang w:val="en-GB"/>
              </w:rPr>
              <w:t>acquired</w:t>
            </w:r>
            <w:r w:rsidR="00770E00" w:rsidRPr="001E1BDB">
              <w:rPr>
                <w:sz w:val="20"/>
                <w:szCs w:val="20"/>
                <w:lang w:val="en-GB"/>
              </w:rPr>
              <w:t xml:space="preserve"> </w:t>
            </w:r>
            <w:r w:rsidRPr="001E1BDB">
              <w:rPr>
                <w:sz w:val="20"/>
                <w:szCs w:val="20"/>
                <w:lang w:val="en-GB"/>
              </w:rPr>
              <w:t xml:space="preserve">knowledge is </w:t>
            </w:r>
            <w:r w:rsidR="005E26AF" w:rsidRPr="001E1BDB">
              <w:rPr>
                <w:sz w:val="20"/>
                <w:szCs w:val="20"/>
                <w:lang w:val="en-GB"/>
              </w:rPr>
              <w:t>substantive</w:t>
            </w:r>
            <w:r w:rsidR="002E741A" w:rsidRPr="001E1BDB">
              <w:rPr>
                <w:sz w:val="20"/>
                <w:szCs w:val="20"/>
                <w:lang w:val="en-GB"/>
              </w:rPr>
              <w:t xml:space="preserve"> </w:t>
            </w:r>
            <w:r w:rsidRPr="001E1BDB">
              <w:rPr>
                <w:sz w:val="20"/>
                <w:szCs w:val="20"/>
                <w:lang w:val="en-GB"/>
              </w:rPr>
              <w:t>related to various legal fields since administrative procedural</w:t>
            </w:r>
            <w:r w:rsidR="00770E00" w:rsidRPr="001E1BDB">
              <w:rPr>
                <w:sz w:val="20"/>
                <w:szCs w:val="20"/>
                <w:lang w:val="en-GB"/>
              </w:rPr>
              <w:t xml:space="preserve"> </w:t>
            </w:r>
            <w:r w:rsidRPr="001E1BDB">
              <w:rPr>
                <w:sz w:val="20"/>
                <w:szCs w:val="20"/>
                <w:lang w:val="en-GB"/>
              </w:rPr>
              <w:t>law as a special</w:t>
            </w:r>
            <w:r w:rsidR="00770E00" w:rsidRPr="001E1BDB">
              <w:rPr>
                <w:sz w:val="20"/>
                <w:szCs w:val="20"/>
                <w:lang w:val="en-GB"/>
              </w:rPr>
              <w:t xml:space="preserve"> </w:t>
            </w:r>
            <w:r w:rsidRPr="001E1BDB">
              <w:rPr>
                <w:sz w:val="20"/>
                <w:szCs w:val="20"/>
                <w:lang w:val="en-GB"/>
              </w:rPr>
              <w:t>branch</w:t>
            </w:r>
            <w:r w:rsidR="00770E00" w:rsidRPr="001E1BDB">
              <w:rPr>
                <w:sz w:val="20"/>
                <w:szCs w:val="20"/>
                <w:lang w:val="en-GB"/>
              </w:rPr>
              <w:t xml:space="preserve"> </w:t>
            </w:r>
            <w:r w:rsidRPr="001E1BDB">
              <w:rPr>
                <w:sz w:val="20"/>
                <w:szCs w:val="20"/>
                <w:lang w:val="en-GB"/>
              </w:rPr>
              <w:t>of</w:t>
            </w:r>
            <w:r w:rsidR="00770E00" w:rsidRPr="001E1BDB">
              <w:rPr>
                <w:sz w:val="20"/>
                <w:szCs w:val="20"/>
                <w:lang w:val="en-GB"/>
              </w:rPr>
              <w:t xml:space="preserve"> </w:t>
            </w:r>
            <w:r w:rsidRPr="001E1BDB">
              <w:rPr>
                <w:sz w:val="20"/>
                <w:szCs w:val="20"/>
                <w:lang w:val="en-GB"/>
              </w:rPr>
              <w:t>procedural</w:t>
            </w:r>
            <w:r w:rsidR="00770E00" w:rsidRPr="001E1BDB">
              <w:rPr>
                <w:sz w:val="20"/>
                <w:szCs w:val="20"/>
                <w:lang w:val="en-GB"/>
              </w:rPr>
              <w:t xml:space="preserve"> </w:t>
            </w:r>
            <w:r w:rsidRPr="001E1BDB">
              <w:rPr>
                <w:sz w:val="20"/>
                <w:szCs w:val="20"/>
                <w:lang w:val="en-GB"/>
              </w:rPr>
              <w:t>law</w:t>
            </w:r>
            <w:r w:rsidR="00770E00" w:rsidRPr="001E1BDB">
              <w:rPr>
                <w:sz w:val="20"/>
                <w:szCs w:val="20"/>
                <w:lang w:val="en-GB"/>
              </w:rPr>
              <w:t xml:space="preserve"> </w:t>
            </w:r>
            <w:r w:rsidRPr="001E1BDB">
              <w:rPr>
                <w:sz w:val="20"/>
                <w:szCs w:val="20"/>
                <w:lang w:val="en-GB"/>
              </w:rPr>
              <w:t>acts in</w:t>
            </w:r>
            <w:r w:rsidR="00BB5216" w:rsidRPr="001E1BDB">
              <w:rPr>
                <w:sz w:val="20"/>
                <w:szCs w:val="20"/>
                <w:lang w:val="en-GB"/>
              </w:rPr>
              <w:t xml:space="preserve"> a wide </w:t>
            </w:r>
            <w:r w:rsidR="005E26AF" w:rsidRPr="001E1BDB">
              <w:rPr>
                <w:sz w:val="20"/>
                <w:szCs w:val="20"/>
                <w:lang w:val="en-GB"/>
              </w:rPr>
              <w:t>forms</w:t>
            </w:r>
            <w:r w:rsidR="00BB5216" w:rsidRPr="001E1BDB">
              <w:rPr>
                <w:sz w:val="20"/>
                <w:szCs w:val="20"/>
                <w:lang w:val="en-GB"/>
              </w:rPr>
              <w:t xml:space="preserve"> of legal decision-making</w:t>
            </w:r>
            <w:r w:rsidRPr="001E1BDB">
              <w:rPr>
                <w:sz w:val="20"/>
                <w:szCs w:val="20"/>
                <w:lang w:val="en-GB"/>
              </w:rPr>
              <w:t xml:space="preserve">: in the </w:t>
            </w:r>
            <w:r w:rsidR="00BB5216" w:rsidRPr="001E1BDB">
              <w:rPr>
                <w:sz w:val="20"/>
                <w:szCs w:val="20"/>
                <w:lang w:val="en-GB"/>
              </w:rPr>
              <w:t>field</w:t>
            </w:r>
            <w:r w:rsidRPr="001E1BDB">
              <w:rPr>
                <w:sz w:val="20"/>
                <w:szCs w:val="20"/>
                <w:lang w:val="en-GB"/>
              </w:rPr>
              <w:t xml:space="preserve"> of ​​administrative law, competition</w:t>
            </w:r>
            <w:r w:rsidR="00770E00" w:rsidRPr="001E1BDB">
              <w:rPr>
                <w:sz w:val="20"/>
                <w:szCs w:val="20"/>
                <w:lang w:val="en-GB"/>
              </w:rPr>
              <w:t xml:space="preserve"> </w:t>
            </w:r>
            <w:r w:rsidRPr="001E1BDB">
              <w:rPr>
                <w:sz w:val="20"/>
                <w:szCs w:val="20"/>
                <w:lang w:val="en-GB"/>
              </w:rPr>
              <w:t>law, the</w:t>
            </w:r>
            <w:r w:rsidR="00770E00" w:rsidRPr="001E1BDB">
              <w:rPr>
                <w:sz w:val="20"/>
                <w:szCs w:val="20"/>
                <w:lang w:val="en-GB"/>
              </w:rPr>
              <w:t xml:space="preserve"> </w:t>
            </w:r>
            <w:r w:rsidRPr="001E1BDB">
              <w:rPr>
                <w:sz w:val="20"/>
                <w:szCs w:val="20"/>
                <w:lang w:val="en-GB"/>
              </w:rPr>
              <w:t>law</w:t>
            </w:r>
            <w:r w:rsidR="00770E00" w:rsidRPr="001E1BDB">
              <w:rPr>
                <w:sz w:val="20"/>
                <w:szCs w:val="20"/>
                <w:lang w:val="en-GB"/>
              </w:rPr>
              <w:t xml:space="preserve"> </w:t>
            </w:r>
            <w:r w:rsidRPr="001E1BDB">
              <w:rPr>
                <w:sz w:val="20"/>
                <w:szCs w:val="20"/>
                <w:lang w:val="en-GB"/>
              </w:rPr>
              <w:t>of</w:t>
            </w:r>
            <w:r w:rsidR="00770E00" w:rsidRPr="001E1BDB">
              <w:rPr>
                <w:sz w:val="20"/>
                <w:szCs w:val="20"/>
                <w:lang w:val="en-GB"/>
              </w:rPr>
              <w:t xml:space="preserve"> </w:t>
            </w:r>
            <w:r w:rsidRPr="001E1BDB">
              <w:rPr>
                <w:sz w:val="20"/>
                <w:szCs w:val="20"/>
                <w:lang w:val="en-GB"/>
              </w:rPr>
              <w:t>financial</w:t>
            </w:r>
            <w:r w:rsidR="00770E00" w:rsidRPr="001E1BDB">
              <w:rPr>
                <w:sz w:val="20"/>
                <w:szCs w:val="20"/>
                <w:lang w:val="en-GB"/>
              </w:rPr>
              <w:t xml:space="preserve"> </w:t>
            </w:r>
            <w:r w:rsidRPr="001E1BDB">
              <w:rPr>
                <w:sz w:val="20"/>
                <w:szCs w:val="20"/>
                <w:lang w:val="en-GB"/>
              </w:rPr>
              <w:t xml:space="preserve">instruments, </w:t>
            </w:r>
            <w:r w:rsidRPr="001E1BDB">
              <w:rPr>
                <w:sz w:val="20"/>
                <w:szCs w:val="20"/>
                <w:lang w:val="en-GB"/>
              </w:rPr>
              <w:lastRenderedPageBreak/>
              <w:t>administrative institutions, etc.</w:t>
            </w:r>
            <w:r w:rsidR="00BB5216">
              <w:t xml:space="preserve"> </w:t>
            </w:r>
            <w:r w:rsidR="00BB5216" w:rsidRPr="00BB5216">
              <w:rPr>
                <w:sz w:val="20"/>
                <w:szCs w:val="20"/>
                <w:lang w:val="en-GB"/>
              </w:rPr>
              <w:t>Control of process substance opens up the possibilities of understanding and functioning of administrative bodies and holders of public authorizations in a wide range of legal fields,</w:t>
            </w:r>
            <w:r w:rsidR="0099627C">
              <w:rPr>
                <w:sz w:val="20"/>
                <w:szCs w:val="20"/>
                <w:lang w:val="en-GB"/>
              </w:rPr>
              <w:t xml:space="preserve"> as it represents one of the main theme </w:t>
            </w:r>
            <w:r w:rsidR="00BB5216" w:rsidRPr="00BB5216">
              <w:rPr>
                <w:sz w:val="20"/>
                <w:szCs w:val="20"/>
                <w:lang w:val="en-GB"/>
              </w:rPr>
              <w:t>of legal regulation.</w:t>
            </w:r>
          </w:p>
          <w:p w14:paraId="780BAE77" w14:textId="77777777" w:rsidR="00A15561" w:rsidRDefault="00A15561" w:rsidP="004F152F">
            <w:pPr>
              <w:jc w:val="both"/>
              <w:rPr>
                <w:rFonts w:cs="Calibri"/>
                <w:sz w:val="20"/>
                <w:szCs w:val="20"/>
              </w:rPr>
            </w:pPr>
          </w:p>
          <w:p w14:paraId="7330F746" w14:textId="77777777" w:rsidR="004F152F" w:rsidRPr="004F3227" w:rsidRDefault="004F152F" w:rsidP="004F152F">
            <w:pPr>
              <w:jc w:val="both"/>
              <w:rPr>
                <w:rFonts w:cs="Calibri"/>
                <w:sz w:val="20"/>
                <w:szCs w:val="20"/>
              </w:rPr>
            </w:pPr>
          </w:p>
        </w:tc>
      </w:tr>
      <w:tr w:rsidR="00CE4BC9" w:rsidRPr="008B58EB" w14:paraId="77B4BFF2" w14:textId="77777777" w:rsidTr="007968F9">
        <w:trPr>
          <w:trHeight w:val="80"/>
        </w:trPr>
        <w:tc>
          <w:tcPr>
            <w:tcW w:w="4671" w:type="dxa"/>
            <w:gridSpan w:val="3"/>
            <w:tcBorders>
              <w:top w:val="nil"/>
              <w:left w:val="single" w:sz="4" w:space="0" w:color="auto"/>
              <w:bottom w:val="single" w:sz="4" w:space="0" w:color="auto"/>
              <w:right w:val="single" w:sz="4" w:space="0" w:color="auto"/>
            </w:tcBorders>
          </w:tcPr>
          <w:p w14:paraId="4FA0F541" w14:textId="77777777" w:rsidR="00CE4BC9" w:rsidRPr="008B58EB" w:rsidRDefault="00CE4BC9" w:rsidP="00CE4BC9">
            <w:pPr>
              <w:rPr>
                <w:rFonts w:cs="Calibri"/>
                <w:sz w:val="20"/>
                <w:szCs w:val="20"/>
              </w:rPr>
            </w:pPr>
          </w:p>
        </w:tc>
        <w:tc>
          <w:tcPr>
            <w:tcW w:w="142" w:type="dxa"/>
            <w:tcBorders>
              <w:top w:val="nil"/>
              <w:left w:val="single" w:sz="4" w:space="0" w:color="auto"/>
              <w:bottom w:val="nil"/>
              <w:right w:val="single" w:sz="4" w:space="0" w:color="auto"/>
            </w:tcBorders>
          </w:tcPr>
          <w:p w14:paraId="6CED99E0" w14:textId="77777777" w:rsidR="00CE4BC9" w:rsidRPr="008B58EB" w:rsidRDefault="00CE4BC9" w:rsidP="00CE4BC9">
            <w:pPr>
              <w:rPr>
                <w:rFonts w:cs="Calibri"/>
                <w:sz w:val="20"/>
                <w:szCs w:val="20"/>
              </w:rPr>
            </w:pPr>
          </w:p>
        </w:tc>
        <w:tc>
          <w:tcPr>
            <w:tcW w:w="4821" w:type="dxa"/>
            <w:gridSpan w:val="2"/>
            <w:tcBorders>
              <w:top w:val="nil"/>
              <w:left w:val="single" w:sz="4" w:space="0" w:color="auto"/>
              <w:bottom w:val="single" w:sz="4" w:space="0" w:color="auto"/>
              <w:right w:val="single" w:sz="4" w:space="0" w:color="auto"/>
            </w:tcBorders>
          </w:tcPr>
          <w:p w14:paraId="7235095A" w14:textId="77777777" w:rsidR="00CE4BC9" w:rsidRPr="008B58EB" w:rsidRDefault="00CE4BC9" w:rsidP="00CE4BC9">
            <w:pPr>
              <w:rPr>
                <w:rFonts w:cs="Calibri"/>
                <w:sz w:val="20"/>
                <w:szCs w:val="20"/>
              </w:rPr>
            </w:pPr>
          </w:p>
        </w:tc>
      </w:tr>
      <w:tr w:rsidR="00CE4BC9" w:rsidRPr="008B58EB" w14:paraId="671E59B3" w14:textId="77777777" w:rsidTr="002C0D46">
        <w:tc>
          <w:tcPr>
            <w:tcW w:w="4671" w:type="dxa"/>
            <w:gridSpan w:val="3"/>
            <w:tcBorders>
              <w:top w:val="nil"/>
              <w:left w:val="nil"/>
              <w:bottom w:val="single" w:sz="4" w:space="0" w:color="auto"/>
              <w:right w:val="nil"/>
            </w:tcBorders>
          </w:tcPr>
          <w:p w14:paraId="6C34A9A9" w14:textId="77777777" w:rsidR="00CE4BC9" w:rsidRPr="008B58EB" w:rsidRDefault="00CE4BC9" w:rsidP="00CE4BC9">
            <w:pPr>
              <w:rPr>
                <w:rFonts w:cs="Calibri"/>
                <w:sz w:val="20"/>
                <w:szCs w:val="20"/>
              </w:rPr>
            </w:pPr>
          </w:p>
          <w:p w14:paraId="3B5DB740" w14:textId="77777777" w:rsidR="00CE4BC9" w:rsidRPr="008B58EB" w:rsidRDefault="00CE4BC9" w:rsidP="00CE4BC9">
            <w:pPr>
              <w:rPr>
                <w:rFonts w:cs="Calibri"/>
                <w:sz w:val="20"/>
                <w:szCs w:val="20"/>
              </w:rPr>
            </w:pPr>
            <w:r w:rsidRPr="008B58EB">
              <w:rPr>
                <w:rFonts w:cs="Calibri"/>
                <w:sz w:val="20"/>
                <w:szCs w:val="20"/>
              </w:rPr>
              <w:t>Metode poučevanja in učenja:</w:t>
            </w:r>
          </w:p>
        </w:tc>
        <w:tc>
          <w:tcPr>
            <w:tcW w:w="142" w:type="dxa"/>
          </w:tcPr>
          <w:p w14:paraId="154BD9A9" w14:textId="77777777" w:rsidR="00CE4BC9" w:rsidRPr="008B58EB" w:rsidRDefault="00CE4BC9" w:rsidP="00CE4BC9">
            <w:pPr>
              <w:rPr>
                <w:rFonts w:cs="Calibri"/>
                <w:sz w:val="20"/>
                <w:szCs w:val="20"/>
              </w:rPr>
            </w:pPr>
          </w:p>
          <w:p w14:paraId="19E9DFD8" w14:textId="77777777" w:rsidR="00CE4BC9" w:rsidRPr="008B58EB" w:rsidRDefault="00CE4BC9" w:rsidP="00CE4BC9">
            <w:pPr>
              <w:rPr>
                <w:rFonts w:cs="Calibri"/>
                <w:sz w:val="20"/>
                <w:szCs w:val="20"/>
              </w:rPr>
            </w:pPr>
          </w:p>
        </w:tc>
        <w:tc>
          <w:tcPr>
            <w:tcW w:w="4821" w:type="dxa"/>
            <w:gridSpan w:val="2"/>
            <w:tcBorders>
              <w:top w:val="nil"/>
              <w:left w:val="nil"/>
              <w:bottom w:val="single" w:sz="4" w:space="0" w:color="auto"/>
              <w:right w:val="nil"/>
            </w:tcBorders>
          </w:tcPr>
          <w:p w14:paraId="3C3D24D4" w14:textId="77777777" w:rsidR="00CE4BC9" w:rsidRPr="008B58EB" w:rsidRDefault="00CE4BC9" w:rsidP="00CE4BC9">
            <w:pPr>
              <w:rPr>
                <w:rFonts w:cs="Calibri"/>
                <w:sz w:val="20"/>
                <w:szCs w:val="20"/>
              </w:rPr>
            </w:pPr>
          </w:p>
          <w:p w14:paraId="10BABE2C" w14:textId="77777777" w:rsidR="00CE4BC9" w:rsidRPr="009B6CB2" w:rsidRDefault="00CE4BC9" w:rsidP="00CE4BC9">
            <w:pPr>
              <w:rPr>
                <w:rFonts w:cs="Calibri"/>
                <w:sz w:val="20"/>
                <w:szCs w:val="20"/>
                <w:lang w:val="en-GB"/>
              </w:rPr>
            </w:pPr>
            <w:r w:rsidRPr="009B6CB2">
              <w:rPr>
                <w:rFonts w:cs="Calibri"/>
                <w:sz w:val="20"/>
                <w:szCs w:val="20"/>
                <w:lang w:val="en-GB"/>
              </w:rPr>
              <w:t>Learning</w:t>
            </w:r>
            <w:r w:rsidR="00305CAA" w:rsidRPr="009B6CB2">
              <w:rPr>
                <w:rFonts w:cs="Calibri"/>
                <w:sz w:val="20"/>
                <w:szCs w:val="20"/>
                <w:lang w:val="en-GB"/>
              </w:rPr>
              <w:t xml:space="preserve"> </w:t>
            </w:r>
            <w:r w:rsidRPr="009B6CB2">
              <w:rPr>
                <w:rFonts w:cs="Calibri"/>
                <w:sz w:val="20"/>
                <w:szCs w:val="20"/>
                <w:lang w:val="en-GB"/>
              </w:rPr>
              <w:t>and</w:t>
            </w:r>
            <w:r w:rsidR="00305CAA" w:rsidRPr="009B6CB2">
              <w:rPr>
                <w:rFonts w:cs="Calibri"/>
                <w:sz w:val="20"/>
                <w:szCs w:val="20"/>
                <w:lang w:val="en-GB"/>
              </w:rPr>
              <w:t xml:space="preserve"> </w:t>
            </w:r>
            <w:r w:rsidRPr="009B6CB2">
              <w:rPr>
                <w:rFonts w:cs="Calibri"/>
                <w:sz w:val="20"/>
                <w:szCs w:val="20"/>
                <w:lang w:val="en-GB"/>
              </w:rPr>
              <w:t>teaching</w:t>
            </w:r>
            <w:r w:rsidR="00305CAA" w:rsidRPr="009B6CB2">
              <w:rPr>
                <w:rFonts w:cs="Calibri"/>
                <w:sz w:val="20"/>
                <w:szCs w:val="20"/>
                <w:lang w:val="en-GB"/>
              </w:rPr>
              <w:t xml:space="preserve"> </w:t>
            </w:r>
            <w:r w:rsidRPr="009B6CB2">
              <w:rPr>
                <w:rFonts w:cs="Calibri"/>
                <w:sz w:val="20"/>
                <w:szCs w:val="20"/>
                <w:lang w:val="en-GB"/>
              </w:rPr>
              <w:t>methods:</w:t>
            </w:r>
          </w:p>
        </w:tc>
      </w:tr>
      <w:tr w:rsidR="00CE4BC9" w:rsidRPr="008B58EB" w14:paraId="70C84D65" w14:textId="77777777" w:rsidTr="002C0D46">
        <w:trPr>
          <w:trHeight w:val="2023"/>
        </w:trPr>
        <w:tc>
          <w:tcPr>
            <w:tcW w:w="4671" w:type="dxa"/>
            <w:gridSpan w:val="3"/>
            <w:tcBorders>
              <w:top w:val="single" w:sz="4" w:space="0" w:color="auto"/>
              <w:left w:val="single" w:sz="4" w:space="0" w:color="auto"/>
              <w:bottom w:val="single" w:sz="4" w:space="0" w:color="auto"/>
              <w:right w:val="single" w:sz="4" w:space="0" w:color="auto"/>
            </w:tcBorders>
          </w:tcPr>
          <w:p w14:paraId="12641F51" w14:textId="77777777" w:rsidR="00CE4BC9" w:rsidRPr="008B58EB" w:rsidRDefault="00CE4BC9" w:rsidP="002107A7">
            <w:pPr>
              <w:jc w:val="both"/>
              <w:rPr>
                <w:sz w:val="20"/>
                <w:szCs w:val="20"/>
              </w:rPr>
            </w:pPr>
            <w:r w:rsidRPr="008B58EB">
              <w:rPr>
                <w:sz w:val="20"/>
                <w:szCs w:val="20"/>
              </w:rPr>
              <w:t>- predavanja (posredovanje teoretičnih znanj</w:t>
            </w:r>
            <w:r w:rsidR="00A000F0">
              <w:rPr>
                <w:sz w:val="20"/>
                <w:szCs w:val="20"/>
              </w:rPr>
              <w:t xml:space="preserve"> in temeljnih izhodišč sodne prakse</w:t>
            </w:r>
            <w:r w:rsidRPr="008B58EB">
              <w:rPr>
                <w:sz w:val="20"/>
                <w:szCs w:val="20"/>
              </w:rPr>
              <w:t>)</w:t>
            </w:r>
          </w:p>
          <w:p w14:paraId="2612207F" w14:textId="77777777" w:rsidR="00CE4BC9" w:rsidRPr="008B58EB" w:rsidRDefault="00CE4BC9" w:rsidP="002107A7">
            <w:pPr>
              <w:jc w:val="both"/>
              <w:rPr>
                <w:sz w:val="20"/>
                <w:szCs w:val="20"/>
              </w:rPr>
            </w:pPr>
            <w:r w:rsidRPr="008B58EB">
              <w:rPr>
                <w:sz w:val="20"/>
                <w:szCs w:val="20"/>
              </w:rPr>
              <w:t xml:space="preserve">- </w:t>
            </w:r>
            <w:r w:rsidR="001D66C4">
              <w:rPr>
                <w:sz w:val="20"/>
                <w:szCs w:val="20"/>
              </w:rPr>
              <w:t xml:space="preserve"> </w:t>
            </w:r>
            <w:r w:rsidR="00A000F0">
              <w:rPr>
                <w:sz w:val="20"/>
                <w:szCs w:val="20"/>
              </w:rPr>
              <w:t xml:space="preserve"> vaje </w:t>
            </w:r>
            <w:r w:rsidRPr="008B58EB">
              <w:rPr>
                <w:sz w:val="20"/>
                <w:szCs w:val="20"/>
              </w:rPr>
              <w:t>(uporaba prava na konkretnih primerih, analiza sodne prakse in razlogov za odločitve, predvidevanje bodočega ravnanja nosilcev pooblastil v konkretnih situacijah)</w:t>
            </w:r>
          </w:p>
          <w:p w14:paraId="20757936" w14:textId="77777777" w:rsidR="00CE4BC9" w:rsidRPr="008B58EB" w:rsidRDefault="00CE4BC9" w:rsidP="002107A7">
            <w:pPr>
              <w:jc w:val="both"/>
              <w:rPr>
                <w:rFonts w:cs="Calibri"/>
                <w:sz w:val="20"/>
                <w:szCs w:val="20"/>
              </w:rPr>
            </w:pPr>
            <w:r w:rsidRPr="008B58EB">
              <w:rPr>
                <w:sz w:val="20"/>
                <w:szCs w:val="20"/>
              </w:rPr>
              <w:t>-</w:t>
            </w:r>
            <w:r w:rsidR="001D66C4">
              <w:rPr>
                <w:sz w:val="20"/>
                <w:szCs w:val="20"/>
              </w:rPr>
              <w:t xml:space="preserve">  </w:t>
            </w:r>
            <w:r w:rsidRPr="008B58EB">
              <w:rPr>
                <w:sz w:val="20"/>
                <w:szCs w:val="20"/>
              </w:rPr>
              <w:t xml:space="preserve"> </w:t>
            </w:r>
            <w:r w:rsidR="001D66C4">
              <w:rPr>
                <w:sz w:val="20"/>
                <w:szCs w:val="20"/>
              </w:rPr>
              <w:t xml:space="preserve"> </w:t>
            </w:r>
            <w:r w:rsidRPr="008B58EB">
              <w:rPr>
                <w:sz w:val="20"/>
                <w:szCs w:val="20"/>
              </w:rPr>
              <w:t>konzultacije</w:t>
            </w:r>
          </w:p>
        </w:tc>
        <w:tc>
          <w:tcPr>
            <w:tcW w:w="142" w:type="dxa"/>
            <w:tcBorders>
              <w:top w:val="nil"/>
              <w:left w:val="single" w:sz="4" w:space="0" w:color="auto"/>
              <w:bottom w:val="nil"/>
              <w:right w:val="single" w:sz="4" w:space="0" w:color="auto"/>
            </w:tcBorders>
          </w:tcPr>
          <w:p w14:paraId="55B7D49F" w14:textId="77777777" w:rsidR="00CE4BC9" w:rsidRPr="008B58EB" w:rsidRDefault="00CE4BC9" w:rsidP="00CE4BC9">
            <w:pPr>
              <w:rPr>
                <w:rFonts w:cs="Calibri"/>
                <w:sz w:val="20"/>
                <w:szCs w:val="20"/>
              </w:rPr>
            </w:pPr>
          </w:p>
        </w:tc>
        <w:tc>
          <w:tcPr>
            <w:tcW w:w="4821" w:type="dxa"/>
            <w:gridSpan w:val="2"/>
            <w:tcBorders>
              <w:top w:val="single" w:sz="4" w:space="0" w:color="auto"/>
              <w:left w:val="single" w:sz="4" w:space="0" w:color="auto"/>
              <w:bottom w:val="single" w:sz="4" w:space="0" w:color="auto"/>
              <w:right w:val="single" w:sz="4" w:space="0" w:color="auto"/>
            </w:tcBorders>
          </w:tcPr>
          <w:p w14:paraId="0864C6F6" w14:textId="77777777" w:rsidR="00CE4BC9" w:rsidRPr="00770E00" w:rsidRDefault="00770E00" w:rsidP="0089129F">
            <w:pPr>
              <w:pStyle w:val="Odstavekseznama"/>
              <w:numPr>
                <w:ilvl w:val="0"/>
                <w:numId w:val="6"/>
              </w:numPr>
              <w:jc w:val="both"/>
              <w:rPr>
                <w:rFonts w:cs="Calibri"/>
                <w:sz w:val="20"/>
                <w:szCs w:val="20"/>
              </w:rPr>
            </w:pPr>
            <w:r>
              <w:rPr>
                <w:rFonts w:cs="Calibri"/>
                <w:sz w:val="20"/>
                <w:szCs w:val="20"/>
                <w:lang w:val="en-GB"/>
              </w:rPr>
              <w:t>l</w:t>
            </w:r>
            <w:r w:rsidRPr="00770E00">
              <w:rPr>
                <w:rFonts w:cs="Calibri"/>
                <w:sz w:val="20"/>
                <w:szCs w:val="20"/>
                <w:lang w:val="en-GB"/>
              </w:rPr>
              <w:t>ectures (</w:t>
            </w:r>
            <w:r w:rsidR="005E373F">
              <w:rPr>
                <w:rFonts w:cs="Calibri"/>
                <w:sz w:val="20"/>
                <w:szCs w:val="20"/>
                <w:lang w:val="en-GB"/>
              </w:rPr>
              <w:t>provision</w:t>
            </w:r>
            <w:r w:rsidRPr="00770E00">
              <w:rPr>
                <w:rFonts w:cs="Calibri"/>
                <w:sz w:val="20"/>
                <w:szCs w:val="20"/>
                <w:lang w:val="en-GB"/>
              </w:rPr>
              <w:t xml:space="preserve"> of basic theoretical knowledge</w:t>
            </w:r>
            <w:r>
              <w:rPr>
                <w:rFonts w:cs="Calibri"/>
                <w:sz w:val="20"/>
                <w:szCs w:val="20"/>
                <w:lang w:val="en-GB"/>
              </w:rPr>
              <w:t xml:space="preserve"> and fundamental principles of case-law</w:t>
            </w:r>
            <w:r w:rsidRPr="00770E00">
              <w:rPr>
                <w:rFonts w:cs="Calibri"/>
                <w:sz w:val="20"/>
                <w:szCs w:val="20"/>
                <w:lang w:val="en-GB"/>
              </w:rPr>
              <w:t>)</w:t>
            </w:r>
          </w:p>
          <w:p w14:paraId="1D316DC3" w14:textId="77777777" w:rsidR="00770E00" w:rsidRPr="0089129F" w:rsidRDefault="00770E00" w:rsidP="0089129F">
            <w:pPr>
              <w:pStyle w:val="Odstavekseznama"/>
              <w:numPr>
                <w:ilvl w:val="0"/>
                <w:numId w:val="6"/>
              </w:numPr>
              <w:jc w:val="both"/>
              <w:rPr>
                <w:rFonts w:cs="Calibri"/>
                <w:sz w:val="20"/>
                <w:szCs w:val="20"/>
              </w:rPr>
            </w:pPr>
            <w:r>
              <w:rPr>
                <w:rFonts w:cs="Calibri"/>
                <w:sz w:val="20"/>
                <w:szCs w:val="20"/>
                <w:lang w:val="en-GB"/>
              </w:rPr>
              <w:t>tutorial (</w:t>
            </w:r>
            <w:r w:rsidR="00BB5216" w:rsidRPr="00BB5216">
              <w:rPr>
                <w:rFonts w:cs="Calibri"/>
                <w:sz w:val="20"/>
                <w:szCs w:val="20"/>
                <w:lang w:val="en-GB"/>
              </w:rPr>
              <w:t xml:space="preserve">application of </w:t>
            </w:r>
            <w:r w:rsidR="00BB5216" w:rsidRPr="001E1BDB">
              <w:rPr>
                <w:rFonts w:cs="Calibri"/>
                <w:sz w:val="20"/>
                <w:szCs w:val="20"/>
                <w:lang w:val="en-GB"/>
              </w:rPr>
              <w:t>the</w:t>
            </w:r>
            <w:r w:rsidR="00BB5216" w:rsidRPr="00BB5216">
              <w:rPr>
                <w:rFonts w:cs="Calibri"/>
                <w:sz w:val="20"/>
                <w:szCs w:val="20"/>
                <w:lang w:val="en-GB"/>
              </w:rPr>
              <w:t xml:space="preserve"> </w:t>
            </w:r>
            <w:r w:rsidR="0089129F">
              <w:rPr>
                <w:rFonts w:cs="Calibri"/>
                <w:sz w:val="20"/>
                <w:szCs w:val="20"/>
                <w:lang w:val="en-GB"/>
              </w:rPr>
              <w:t>law</w:t>
            </w:r>
            <w:r w:rsidR="00BB5216" w:rsidRPr="00BB5216">
              <w:rPr>
                <w:rFonts w:cs="Calibri"/>
                <w:sz w:val="20"/>
                <w:szCs w:val="20"/>
                <w:lang w:val="en-GB"/>
              </w:rPr>
              <w:t xml:space="preserve"> to concrete cases</w:t>
            </w:r>
            <w:r w:rsidR="0089129F">
              <w:rPr>
                <w:rFonts w:cs="Calibri"/>
                <w:sz w:val="20"/>
                <w:szCs w:val="20"/>
                <w:lang w:val="en-GB"/>
              </w:rPr>
              <w:t xml:space="preserve">, analysis of case law and reasons for decisions, </w:t>
            </w:r>
            <w:r w:rsidR="0089129F" w:rsidRPr="0089129F">
              <w:rPr>
                <w:rFonts w:cs="Calibri"/>
                <w:sz w:val="20"/>
                <w:szCs w:val="20"/>
                <w:lang w:val="en-GB"/>
              </w:rPr>
              <w:t>anticipation of the future conduct of the holders of authorization in concrete situations</w:t>
            </w:r>
            <w:r w:rsidR="00BB5216">
              <w:rPr>
                <w:rFonts w:cs="Calibri"/>
                <w:sz w:val="20"/>
                <w:szCs w:val="20"/>
                <w:lang w:val="en-GB"/>
              </w:rPr>
              <w:t>)</w:t>
            </w:r>
            <w:r w:rsidR="0089129F">
              <w:rPr>
                <w:rFonts w:cs="Calibri"/>
                <w:sz w:val="20"/>
                <w:szCs w:val="20"/>
                <w:lang w:val="en-GB"/>
              </w:rPr>
              <w:t>,</w:t>
            </w:r>
          </w:p>
          <w:p w14:paraId="0C4C93A1" w14:textId="77777777" w:rsidR="0089129F" w:rsidRPr="00770E00" w:rsidRDefault="0089129F" w:rsidP="0089129F">
            <w:pPr>
              <w:pStyle w:val="Odstavekseznama"/>
              <w:numPr>
                <w:ilvl w:val="0"/>
                <w:numId w:val="6"/>
              </w:numPr>
              <w:jc w:val="both"/>
              <w:rPr>
                <w:rFonts w:cs="Calibri"/>
                <w:sz w:val="20"/>
                <w:szCs w:val="20"/>
              </w:rPr>
            </w:pPr>
            <w:r>
              <w:rPr>
                <w:rFonts w:cs="Calibri"/>
                <w:sz w:val="20"/>
                <w:szCs w:val="20"/>
                <w:lang w:val="en-GB"/>
              </w:rPr>
              <w:t>consultations</w:t>
            </w:r>
          </w:p>
        </w:tc>
      </w:tr>
      <w:tr w:rsidR="00CE4BC9" w:rsidRPr="008B58EB" w14:paraId="16B80829" w14:textId="77777777" w:rsidTr="002C0D46">
        <w:tc>
          <w:tcPr>
            <w:tcW w:w="3964" w:type="dxa"/>
            <w:tcBorders>
              <w:top w:val="nil"/>
              <w:left w:val="nil"/>
              <w:bottom w:val="single" w:sz="4" w:space="0" w:color="auto"/>
              <w:right w:val="nil"/>
            </w:tcBorders>
          </w:tcPr>
          <w:p w14:paraId="4F4E0796" w14:textId="77777777" w:rsidR="00CE4BC9" w:rsidRPr="008B58EB" w:rsidRDefault="00CE4BC9" w:rsidP="00CE4BC9">
            <w:pPr>
              <w:rPr>
                <w:rFonts w:cs="Calibri"/>
                <w:sz w:val="20"/>
                <w:szCs w:val="20"/>
              </w:rPr>
            </w:pPr>
          </w:p>
          <w:p w14:paraId="7F85F4E8" w14:textId="77777777" w:rsidR="00CE4BC9" w:rsidRPr="008B58EB" w:rsidRDefault="00CE4BC9" w:rsidP="00CE4BC9">
            <w:pPr>
              <w:rPr>
                <w:rFonts w:cs="Calibri"/>
                <w:sz w:val="20"/>
                <w:szCs w:val="20"/>
              </w:rPr>
            </w:pPr>
            <w:r w:rsidRPr="008B58EB">
              <w:rPr>
                <w:rFonts w:cs="Calibri"/>
                <w:sz w:val="20"/>
                <w:szCs w:val="20"/>
              </w:rPr>
              <w:t>Načini ocenjevanja:</w:t>
            </w:r>
          </w:p>
        </w:tc>
        <w:tc>
          <w:tcPr>
            <w:tcW w:w="1560" w:type="dxa"/>
            <w:gridSpan w:val="4"/>
            <w:tcBorders>
              <w:top w:val="nil"/>
              <w:left w:val="nil"/>
              <w:bottom w:val="single" w:sz="4" w:space="0" w:color="auto"/>
              <w:right w:val="nil"/>
            </w:tcBorders>
          </w:tcPr>
          <w:p w14:paraId="51116C4E" w14:textId="77777777" w:rsidR="00CE4BC9" w:rsidRPr="008B58EB" w:rsidRDefault="00CE4BC9" w:rsidP="00CE4BC9">
            <w:pPr>
              <w:rPr>
                <w:rFonts w:cs="Calibri"/>
                <w:sz w:val="20"/>
                <w:szCs w:val="20"/>
              </w:rPr>
            </w:pPr>
            <w:r w:rsidRPr="008B58EB">
              <w:rPr>
                <w:rFonts w:cs="Calibri"/>
                <w:sz w:val="20"/>
                <w:szCs w:val="20"/>
              </w:rPr>
              <w:t>Delež (v %) /</w:t>
            </w:r>
          </w:p>
          <w:p w14:paraId="2474C846" w14:textId="77777777" w:rsidR="00CE4BC9" w:rsidRPr="008B58EB" w:rsidRDefault="00CE4BC9" w:rsidP="00CE4BC9">
            <w:pPr>
              <w:rPr>
                <w:rFonts w:cs="Calibri"/>
                <w:sz w:val="20"/>
                <w:szCs w:val="20"/>
              </w:rPr>
            </w:pPr>
            <w:r w:rsidRPr="009B6CB2">
              <w:rPr>
                <w:rFonts w:cs="Calibri"/>
                <w:sz w:val="20"/>
                <w:szCs w:val="20"/>
                <w:lang w:val="en-GB"/>
              </w:rPr>
              <w:t>Weight</w:t>
            </w:r>
            <w:r w:rsidRPr="008B58EB">
              <w:rPr>
                <w:rFonts w:cs="Calibri"/>
                <w:sz w:val="20"/>
                <w:szCs w:val="20"/>
              </w:rPr>
              <w:t xml:space="preserve"> (in %)</w:t>
            </w:r>
          </w:p>
        </w:tc>
        <w:tc>
          <w:tcPr>
            <w:tcW w:w="4110" w:type="dxa"/>
            <w:tcBorders>
              <w:top w:val="nil"/>
              <w:left w:val="nil"/>
              <w:bottom w:val="single" w:sz="4" w:space="0" w:color="auto"/>
              <w:right w:val="nil"/>
            </w:tcBorders>
          </w:tcPr>
          <w:p w14:paraId="2F33FA66" w14:textId="77777777" w:rsidR="00CE4BC9" w:rsidRPr="008B58EB" w:rsidRDefault="00CE4BC9" w:rsidP="00CE4BC9">
            <w:pPr>
              <w:rPr>
                <w:rFonts w:cs="Calibri"/>
                <w:sz w:val="20"/>
                <w:szCs w:val="20"/>
              </w:rPr>
            </w:pPr>
          </w:p>
          <w:p w14:paraId="7819F424" w14:textId="77777777" w:rsidR="00CE4BC9" w:rsidRPr="008B58EB" w:rsidRDefault="00CE4BC9" w:rsidP="00CE4BC9">
            <w:pPr>
              <w:rPr>
                <w:rFonts w:cs="Calibri"/>
                <w:sz w:val="20"/>
                <w:szCs w:val="20"/>
              </w:rPr>
            </w:pPr>
            <w:r w:rsidRPr="009B6CB2">
              <w:rPr>
                <w:rFonts w:cs="Calibri"/>
                <w:sz w:val="20"/>
                <w:szCs w:val="20"/>
                <w:lang w:val="en-GB"/>
              </w:rPr>
              <w:t>Assessment</w:t>
            </w:r>
            <w:r w:rsidRPr="008B58EB">
              <w:rPr>
                <w:rFonts w:cs="Calibri"/>
                <w:sz w:val="20"/>
                <w:szCs w:val="20"/>
              </w:rPr>
              <w:t>:</w:t>
            </w:r>
          </w:p>
        </w:tc>
      </w:tr>
      <w:tr w:rsidR="00CE4BC9" w:rsidRPr="008B58EB" w14:paraId="36DCFC0A" w14:textId="77777777" w:rsidTr="002C0D46">
        <w:trPr>
          <w:trHeight w:val="1104"/>
        </w:trPr>
        <w:tc>
          <w:tcPr>
            <w:tcW w:w="3964" w:type="dxa"/>
            <w:tcBorders>
              <w:top w:val="single" w:sz="4" w:space="0" w:color="auto"/>
              <w:left w:val="single" w:sz="4" w:space="0" w:color="auto"/>
              <w:bottom w:val="single" w:sz="4" w:space="0" w:color="auto"/>
              <w:right w:val="single" w:sz="4" w:space="0" w:color="auto"/>
            </w:tcBorders>
          </w:tcPr>
          <w:p w14:paraId="2D1DC2C5" w14:textId="77777777" w:rsidR="00CE4BC9" w:rsidRPr="008B58EB" w:rsidRDefault="00CE4BC9" w:rsidP="002107A7">
            <w:pPr>
              <w:jc w:val="both"/>
              <w:rPr>
                <w:sz w:val="20"/>
                <w:szCs w:val="20"/>
              </w:rPr>
            </w:pPr>
            <w:r w:rsidRPr="008B58EB">
              <w:rPr>
                <w:sz w:val="20"/>
                <w:szCs w:val="20"/>
              </w:rPr>
              <w:t>Končni pisni izpit</w:t>
            </w:r>
            <w:r w:rsidR="00A000F0">
              <w:rPr>
                <w:sz w:val="20"/>
                <w:szCs w:val="20"/>
              </w:rPr>
              <w:t>.</w:t>
            </w:r>
          </w:p>
          <w:p w14:paraId="69C5CA0B" w14:textId="77777777" w:rsidR="009F2D15" w:rsidRDefault="009F2D15" w:rsidP="002107A7">
            <w:pPr>
              <w:autoSpaceDE w:val="0"/>
              <w:autoSpaceDN w:val="0"/>
              <w:adjustRightInd w:val="0"/>
              <w:jc w:val="both"/>
              <w:rPr>
                <w:sz w:val="20"/>
                <w:szCs w:val="20"/>
              </w:rPr>
            </w:pPr>
          </w:p>
          <w:p w14:paraId="63E4F6F7" w14:textId="77777777" w:rsidR="00CE4BC9" w:rsidRPr="008B58EB" w:rsidRDefault="00CE4BC9" w:rsidP="002107A7">
            <w:pPr>
              <w:autoSpaceDE w:val="0"/>
              <w:autoSpaceDN w:val="0"/>
              <w:adjustRightInd w:val="0"/>
              <w:jc w:val="both"/>
              <w:rPr>
                <w:rFonts w:cs="Calibri"/>
                <w:sz w:val="20"/>
                <w:szCs w:val="20"/>
              </w:rPr>
            </w:pPr>
            <w:r w:rsidRPr="008B58EB">
              <w:rPr>
                <w:sz w:val="20"/>
                <w:szCs w:val="20"/>
              </w:rPr>
              <w:t xml:space="preserve">Izpit se oceni z ocenjevalno lestvico od </w:t>
            </w:r>
            <w:r w:rsidR="004E493D">
              <w:rPr>
                <w:sz w:val="20"/>
                <w:szCs w:val="20"/>
              </w:rPr>
              <w:t>5</w:t>
            </w:r>
            <w:r w:rsidRPr="008B58EB">
              <w:rPr>
                <w:sz w:val="20"/>
                <w:szCs w:val="20"/>
              </w:rPr>
              <w:t xml:space="preserve"> - 10: od 6-10 (pozitivno) oziroma 5 (negativno); ob upoštevanju Statuta UL in pravil Pravne fakultete.</w:t>
            </w:r>
          </w:p>
          <w:p w14:paraId="61E33BF1" w14:textId="77777777" w:rsidR="00CE4BC9" w:rsidRPr="008B58EB" w:rsidRDefault="00CE4BC9" w:rsidP="00CE4BC9">
            <w:pPr>
              <w:rPr>
                <w:rFonts w:cs="Calibri"/>
                <w:sz w:val="20"/>
                <w:szCs w:val="20"/>
              </w:rPr>
            </w:pPr>
          </w:p>
        </w:tc>
        <w:tc>
          <w:tcPr>
            <w:tcW w:w="1560" w:type="dxa"/>
            <w:gridSpan w:val="4"/>
            <w:tcBorders>
              <w:top w:val="single" w:sz="4" w:space="0" w:color="auto"/>
              <w:left w:val="single" w:sz="4" w:space="0" w:color="auto"/>
              <w:bottom w:val="single" w:sz="4" w:space="0" w:color="auto"/>
              <w:right w:val="single" w:sz="4" w:space="0" w:color="auto"/>
            </w:tcBorders>
            <w:vAlign w:val="bottom"/>
          </w:tcPr>
          <w:p w14:paraId="657F8110" w14:textId="77777777" w:rsidR="00CE4BC9" w:rsidRDefault="004E493D" w:rsidP="00CE4BC9">
            <w:pPr>
              <w:rPr>
                <w:rFonts w:cs="Calibri"/>
                <w:sz w:val="20"/>
                <w:szCs w:val="20"/>
              </w:rPr>
            </w:pPr>
            <w:r>
              <w:rPr>
                <w:rFonts w:cs="Calibri"/>
                <w:sz w:val="20"/>
                <w:szCs w:val="20"/>
              </w:rPr>
              <w:t>100 %</w:t>
            </w:r>
          </w:p>
          <w:p w14:paraId="67872DF5" w14:textId="77777777" w:rsidR="004E493D" w:rsidRDefault="004E493D" w:rsidP="00CE4BC9">
            <w:pPr>
              <w:rPr>
                <w:rFonts w:cs="Calibri"/>
                <w:sz w:val="20"/>
                <w:szCs w:val="20"/>
              </w:rPr>
            </w:pPr>
          </w:p>
          <w:p w14:paraId="47FB0677" w14:textId="77777777" w:rsidR="004E493D" w:rsidRDefault="004E493D" w:rsidP="00CE4BC9">
            <w:pPr>
              <w:rPr>
                <w:rFonts w:cs="Calibri"/>
                <w:sz w:val="20"/>
                <w:szCs w:val="20"/>
              </w:rPr>
            </w:pPr>
          </w:p>
          <w:p w14:paraId="0433E3BE" w14:textId="77777777" w:rsidR="004E493D" w:rsidRDefault="004E493D" w:rsidP="00CE4BC9">
            <w:pPr>
              <w:rPr>
                <w:rFonts w:cs="Calibri"/>
                <w:sz w:val="20"/>
                <w:szCs w:val="20"/>
              </w:rPr>
            </w:pPr>
          </w:p>
          <w:p w14:paraId="55B4A1B3" w14:textId="77777777" w:rsidR="004E493D" w:rsidRDefault="004E493D" w:rsidP="00CE4BC9">
            <w:pPr>
              <w:rPr>
                <w:rFonts w:cs="Calibri"/>
                <w:sz w:val="20"/>
                <w:szCs w:val="20"/>
              </w:rPr>
            </w:pPr>
          </w:p>
          <w:p w14:paraId="0DAC3A47" w14:textId="77777777" w:rsidR="004E493D" w:rsidRDefault="004E493D" w:rsidP="00CE4BC9">
            <w:pPr>
              <w:rPr>
                <w:rFonts w:cs="Calibri"/>
                <w:sz w:val="20"/>
                <w:szCs w:val="20"/>
              </w:rPr>
            </w:pPr>
          </w:p>
          <w:p w14:paraId="23447F00" w14:textId="77777777" w:rsidR="004E493D" w:rsidRPr="008B58EB" w:rsidRDefault="004E493D" w:rsidP="00CE4BC9">
            <w:pPr>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5C8E83D" w14:textId="77777777" w:rsidR="00525179" w:rsidRPr="00525179" w:rsidRDefault="0099627C" w:rsidP="002107A7">
            <w:pPr>
              <w:jc w:val="both"/>
              <w:rPr>
                <w:rFonts w:cs="Calibri"/>
                <w:sz w:val="20"/>
                <w:szCs w:val="20"/>
                <w:lang w:val="en-GB"/>
              </w:rPr>
            </w:pPr>
            <w:r>
              <w:rPr>
                <w:rFonts w:cs="Calibri"/>
                <w:sz w:val="20"/>
                <w:szCs w:val="20"/>
                <w:lang w:val="en-GB"/>
              </w:rPr>
              <w:t>Final written exam</w:t>
            </w:r>
            <w:r w:rsidR="00916698">
              <w:rPr>
                <w:rFonts w:cs="Calibri"/>
                <w:sz w:val="20"/>
                <w:szCs w:val="20"/>
                <w:lang w:val="en-GB"/>
              </w:rPr>
              <w:t>.</w:t>
            </w:r>
          </w:p>
          <w:p w14:paraId="57821957" w14:textId="77777777" w:rsidR="00525179" w:rsidRPr="00525179" w:rsidRDefault="00525179" w:rsidP="002107A7">
            <w:pPr>
              <w:jc w:val="both"/>
              <w:rPr>
                <w:rFonts w:cs="Calibri"/>
                <w:sz w:val="20"/>
                <w:szCs w:val="20"/>
                <w:lang w:val="en-GB"/>
              </w:rPr>
            </w:pPr>
          </w:p>
          <w:p w14:paraId="35130CC0" w14:textId="77777777" w:rsidR="00525179" w:rsidRPr="008B58EB" w:rsidRDefault="00525179" w:rsidP="002107A7">
            <w:pPr>
              <w:jc w:val="both"/>
              <w:rPr>
                <w:rFonts w:cs="Calibri"/>
                <w:sz w:val="20"/>
                <w:szCs w:val="20"/>
              </w:rPr>
            </w:pPr>
            <w:r w:rsidRPr="00525179">
              <w:rPr>
                <w:rFonts w:cs="Calibri"/>
                <w:sz w:val="20"/>
                <w:szCs w:val="20"/>
                <w:lang w:val="en-GB"/>
              </w:rPr>
              <w:t>The exam is assessed with an evaluation scale of 5-10: 6-10 (positive) and 5 (negative); taking into account the Statute of UL and the rules of the Faculty of Law.</w:t>
            </w:r>
          </w:p>
        </w:tc>
      </w:tr>
      <w:tr w:rsidR="00CE4BC9" w:rsidRPr="008B58EB" w14:paraId="124AFEC5" w14:textId="77777777" w:rsidTr="002C0D46">
        <w:tc>
          <w:tcPr>
            <w:tcW w:w="9634" w:type="dxa"/>
            <w:gridSpan w:val="6"/>
            <w:tcBorders>
              <w:top w:val="single" w:sz="4" w:space="0" w:color="auto"/>
              <w:left w:val="nil"/>
              <w:bottom w:val="single" w:sz="4" w:space="0" w:color="auto"/>
              <w:right w:val="nil"/>
            </w:tcBorders>
          </w:tcPr>
          <w:p w14:paraId="56BDE0C0" w14:textId="77777777" w:rsidR="00CE4BC9" w:rsidRPr="008B58EB" w:rsidRDefault="00CE4BC9" w:rsidP="00CE4BC9">
            <w:pPr>
              <w:rPr>
                <w:rFonts w:cs="Calibri"/>
                <w:sz w:val="20"/>
                <w:szCs w:val="20"/>
              </w:rPr>
            </w:pPr>
          </w:p>
          <w:p w14:paraId="4D640CC7" w14:textId="77777777" w:rsidR="00CE4BC9" w:rsidRPr="008B58EB" w:rsidRDefault="00CE4BC9" w:rsidP="00CE4BC9">
            <w:pPr>
              <w:rPr>
                <w:rFonts w:cs="Calibri"/>
                <w:sz w:val="20"/>
                <w:szCs w:val="20"/>
              </w:rPr>
            </w:pPr>
            <w:r w:rsidRPr="008B58EB">
              <w:rPr>
                <w:rFonts w:cs="Calibri"/>
                <w:sz w:val="20"/>
                <w:szCs w:val="20"/>
              </w:rPr>
              <w:t xml:space="preserve">Reference nosilca / </w:t>
            </w:r>
            <w:r w:rsidRPr="009B6CB2">
              <w:rPr>
                <w:rFonts w:cs="Calibri"/>
                <w:sz w:val="20"/>
                <w:szCs w:val="20"/>
                <w:lang w:val="en-GB"/>
              </w:rPr>
              <w:t>Lecturer's</w:t>
            </w:r>
            <w:r w:rsidR="009B6CB2">
              <w:rPr>
                <w:rFonts w:cs="Calibri"/>
                <w:sz w:val="20"/>
                <w:szCs w:val="20"/>
                <w:lang w:val="en-GB"/>
              </w:rPr>
              <w:t xml:space="preserve"> </w:t>
            </w:r>
            <w:r w:rsidRPr="009B6CB2">
              <w:rPr>
                <w:rFonts w:cs="Calibri"/>
                <w:sz w:val="20"/>
                <w:szCs w:val="20"/>
                <w:lang w:val="en-GB"/>
              </w:rPr>
              <w:t>references:</w:t>
            </w:r>
            <w:r w:rsidRPr="008B58EB">
              <w:rPr>
                <w:rFonts w:cs="Calibri"/>
                <w:sz w:val="20"/>
                <w:szCs w:val="20"/>
              </w:rPr>
              <w:t xml:space="preserve"> </w:t>
            </w:r>
          </w:p>
        </w:tc>
      </w:tr>
      <w:tr w:rsidR="00267CA9" w:rsidRPr="008B58EB" w14:paraId="4F85A0E6" w14:textId="77777777" w:rsidTr="002C0D46">
        <w:tc>
          <w:tcPr>
            <w:tcW w:w="9634" w:type="dxa"/>
            <w:gridSpan w:val="6"/>
            <w:tcBorders>
              <w:top w:val="single" w:sz="4" w:space="0" w:color="auto"/>
              <w:left w:val="single" w:sz="4" w:space="0" w:color="auto"/>
              <w:bottom w:val="single" w:sz="4" w:space="0" w:color="auto"/>
              <w:right w:val="single" w:sz="4" w:space="0" w:color="auto"/>
            </w:tcBorders>
          </w:tcPr>
          <w:p w14:paraId="7EBF223D" w14:textId="204EA253"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sidRPr="007B2300">
              <w:rPr>
                <w:rFonts w:asciiTheme="minorHAnsi" w:hAnsiTheme="minorHAnsi" w:cstheme="minorHAnsi"/>
                <w:sz w:val="20"/>
                <w:szCs w:val="20"/>
              </w:rPr>
              <w:t>1</w:t>
            </w:r>
            <w:r w:rsidRPr="00AC48EE">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D864A8">
              <w:rPr>
                <w:rFonts w:asciiTheme="minorHAnsi" w:hAnsiTheme="minorHAnsi" w:cstheme="minorHAnsi"/>
                <w:color w:val="000000"/>
                <w:sz w:val="20"/>
                <w:szCs w:val="20"/>
              </w:rPr>
              <w:t>ŽUBER, Bruna. Samostojnost pri odločanju : 12.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1, str. 157-163. [COBISS.SI-ID </w:t>
            </w:r>
            <w:hyperlink r:id="rId6" w:tgtFrame="_blank" w:history="1">
              <w:r w:rsidRPr="00D864A8">
                <w:rPr>
                  <w:rStyle w:val="Hiperpovezava"/>
                  <w:rFonts w:asciiTheme="minorHAnsi" w:hAnsiTheme="minorHAnsi" w:cstheme="minorHAnsi"/>
                  <w:color w:val="CD5B45"/>
                  <w:sz w:val="20"/>
                  <w:szCs w:val="20"/>
                </w:rPr>
                <w:t>46913283</w:t>
              </w:r>
            </w:hyperlink>
            <w:r w:rsidRPr="00D864A8">
              <w:rPr>
                <w:rFonts w:asciiTheme="minorHAnsi" w:hAnsiTheme="minorHAnsi" w:cstheme="minorHAnsi"/>
                <w:color w:val="000000"/>
                <w:sz w:val="20"/>
                <w:szCs w:val="20"/>
              </w:rPr>
              <w:t>]</w:t>
            </w:r>
          </w:p>
          <w:p w14:paraId="05916890" w14:textId="77777777" w:rsidR="00267CA9" w:rsidRPr="00D864A8" w:rsidRDefault="00267CA9" w:rsidP="00267CA9">
            <w:pPr>
              <w:pStyle w:val="Navadensplet"/>
              <w:spacing w:before="0" w:beforeAutospacing="0" w:after="0" w:afterAutospacing="0"/>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2. </w:t>
            </w:r>
            <w:r w:rsidRPr="00D864A8">
              <w:rPr>
                <w:rFonts w:asciiTheme="minorHAnsi" w:hAnsiTheme="minorHAnsi" w:cstheme="minorHAnsi"/>
                <w:color w:val="000000"/>
                <w:sz w:val="20"/>
                <w:szCs w:val="20"/>
              </w:rPr>
              <w:t>ŽUBER, Bruna. Začasni zastopnik : 51.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1, str. 365-371. [COBISS.SI-ID </w:t>
            </w:r>
            <w:hyperlink r:id="rId7" w:tgtFrame="_blank" w:history="1">
              <w:r w:rsidRPr="00D864A8">
                <w:rPr>
                  <w:rStyle w:val="Hiperpovezava"/>
                  <w:rFonts w:asciiTheme="minorHAnsi" w:hAnsiTheme="minorHAnsi" w:cstheme="minorHAnsi"/>
                  <w:color w:val="CD5B45"/>
                  <w:sz w:val="20"/>
                  <w:szCs w:val="20"/>
                </w:rPr>
                <w:t>47001091</w:t>
              </w:r>
            </w:hyperlink>
            <w:r w:rsidRPr="00D864A8">
              <w:rPr>
                <w:rFonts w:asciiTheme="minorHAnsi" w:hAnsiTheme="minorHAnsi" w:cstheme="minorHAnsi"/>
                <w:color w:val="000000"/>
                <w:sz w:val="20"/>
                <w:szCs w:val="20"/>
              </w:rPr>
              <w:t>]</w:t>
            </w:r>
          </w:p>
          <w:p w14:paraId="36650D17"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3. </w:t>
            </w:r>
            <w:r w:rsidRPr="00D864A8">
              <w:rPr>
                <w:rFonts w:asciiTheme="minorHAnsi" w:hAnsiTheme="minorHAnsi" w:cstheme="minorHAnsi"/>
                <w:color w:val="000000"/>
                <w:sz w:val="20"/>
                <w:szCs w:val="20"/>
              </w:rPr>
              <w:t>ŽUBER, Bruna. Skupni predstavnik : 52.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1, str. 372-375. [COBISS.SI-ID </w:t>
            </w:r>
            <w:hyperlink r:id="rId8" w:tgtFrame="_blank" w:history="1">
              <w:r w:rsidRPr="00D864A8">
                <w:rPr>
                  <w:rStyle w:val="Hiperpovezava"/>
                  <w:rFonts w:asciiTheme="minorHAnsi" w:hAnsiTheme="minorHAnsi" w:cstheme="minorHAnsi"/>
                  <w:color w:val="CD5B45"/>
                  <w:sz w:val="20"/>
                  <w:szCs w:val="20"/>
                </w:rPr>
                <w:t>47001603</w:t>
              </w:r>
            </w:hyperlink>
            <w:r w:rsidRPr="00D864A8">
              <w:rPr>
                <w:rFonts w:asciiTheme="minorHAnsi" w:hAnsiTheme="minorHAnsi" w:cstheme="minorHAnsi"/>
                <w:color w:val="000000"/>
                <w:sz w:val="20"/>
                <w:szCs w:val="20"/>
              </w:rPr>
              <w:t>]</w:t>
            </w:r>
          </w:p>
          <w:p w14:paraId="5DB40EB5"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4. </w:t>
            </w:r>
            <w:r w:rsidRPr="00D864A8">
              <w:rPr>
                <w:rFonts w:asciiTheme="minorHAnsi" w:hAnsiTheme="minorHAnsi" w:cstheme="minorHAnsi"/>
                <w:color w:val="000000"/>
                <w:sz w:val="20"/>
                <w:szCs w:val="20"/>
              </w:rPr>
              <w:t>ŽUBER, Bruna. Pooblaščenec : 53. - 61.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1, str. 376-403. [COBISS.SI-ID </w:t>
            </w:r>
            <w:hyperlink r:id="rId9" w:tgtFrame="_blank" w:history="1">
              <w:r w:rsidRPr="00D864A8">
                <w:rPr>
                  <w:rStyle w:val="Hiperpovezava"/>
                  <w:rFonts w:asciiTheme="minorHAnsi" w:hAnsiTheme="minorHAnsi" w:cstheme="minorHAnsi"/>
                  <w:color w:val="CD5B45"/>
                  <w:sz w:val="20"/>
                  <w:szCs w:val="20"/>
                </w:rPr>
                <w:t>47003139</w:t>
              </w:r>
            </w:hyperlink>
            <w:r w:rsidRPr="00D864A8">
              <w:rPr>
                <w:rFonts w:asciiTheme="minorHAnsi" w:hAnsiTheme="minorHAnsi" w:cstheme="minorHAnsi"/>
                <w:color w:val="000000"/>
                <w:sz w:val="20"/>
                <w:szCs w:val="20"/>
              </w:rPr>
              <w:t>]</w:t>
            </w:r>
          </w:p>
          <w:p w14:paraId="5FA53069"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5. </w:t>
            </w:r>
            <w:r w:rsidRPr="00D864A8">
              <w:rPr>
                <w:rFonts w:asciiTheme="minorHAnsi" w:hAnsiTheme="minorHAnsi" w:cstheme="minorHAnsi"/>
                <w:color w:val="000000"/>
                <w:sz w:val="20"/>
                <w:szCs w:val="20"/>
              </w:rPr>
              <w:t>KOVAČ, Polonca</w:t>
            </w:r>
            <w:r>
              <w:rPr>
                <w:rFonts w:asciiTheme="minorHAnsi" w:hAnsiTheme="minorHAnsi" w:cstheme="minorHAnsi"/>
                <w:color w:val="000000"/>
                <w:sz w:val="20"/>
                <w:szCs w:val="20"/>
              </w:rPr>
              <w:t>,</w:t>
            </w:r>
            <w:r w:rsidRPr="00D864A8">
              <w:rPr>
                <w:rFonts w:asciiTheme="minorHAnsi" w:hAnsiTheme="minorHAnsi" w:cstheme="minorHAnsi"/>
                <w:color w:val="000000"/>
                <w:sz w:val="20"/>
                <w:szCs w:val="20"/>
              </w:rPr>
              <w:t xml:space="preserve"> ŽUBER, Bruna, ,. Kateri organ izda odločbo : 207. - 209.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390-416. [COBISS.SI-ID </w:t>
            </w:r>
            <w:hyperlink r:id="rId10" w:tgtFrame="_blank" w:history="1">
              <w:r w:rsidRPr="00D864A8">
                <w:rPr>
                  <w:rStyle w:val="Hiperpovezava"/>
                  <w:rFonts w:asciiTheme="minorHAnsi" w:hAnsiTheme="minorHAnsi" w:cstheme="minorHAnsi"/>
                  <w:color w:val="CD5B45"/>
                  <w:sz w:val="20"/>
                  <w:szCs w:val="20"/>
                </w:rPr>
                <w:t>48095235</w:t>
              </w:r>
            </w:hyperlink>
            <w:r w:rsidRPr="00D864A8">
              <w:rPr>
                <w:rFonts w:asciiTheme="minorHAnsi" w:hAnsiTheme="minorHAnsi" w:cstheme="minorHAnsi"/>
                <w:color w:val="000000"/>
                <w:sz w:val="20"/>
                <w:szCs w:val="20"/>
              </w:rPr>
              <w:t>]</w:t>
            </w:r>
          </w:p>
          <w:p w14:paraId="5F3F133F"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6. </w:t>
            </w:r>
            <w:r w:rsidRPr="00D864A8">
              <w:rPr>
                <w:rFonts w:asciiTheme="minorHAnsi" w:hAnsiTheme="minorHAnsi" w:cstheme="minorHAnsi"/>
                <w:color w:val="000000"/>
                <w:sz w:val="20"/>
                <w:szCs w:val="20"/>
              </w:rPr>
              <w:t>KOVAČ, Polonca</w:t>
            </w:r>
            <w:r>
              <w:rPr>
                <w:rFonts w:asciiTheme="minorHAnsi" w:hAnsiTheme="minorHAnsi" w:cstheme="minorHAnsi"/>
                <w:color w:val="000000"/>
                <w:sz w:val="20"/>
                <w:szCs w:val="20"/>
              </w:rPr>
              <w:t xml:space="preserve">, </w:t>
            </w:r>
            <w:r w:rsidRPr="00D864A8">
              <w:rPr>
                <w:rFonts w:asciiTheme="minorHAnsi" w:hAnsiTheme="minorHAnsi" w:cstheme="minorHAnsi"/>
                <w:color w:val="000000"/>
                <w:sz w:val="20"/>
                <w:szCs w:val="20"/>
              </w:rPr>
              <w:t>ŽUBER, Bruna. Oblika, način izdaje in sestavni deli odločbe : 210. - 218.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417-465, tabele. [COBISS.SI-ID </w:t>
            </w:r>
            <w:hyperlink r:id="rId11" w:tgtFrame="_blank" w:history="1">
              <w:r w:rsidRPr="00D864A8">
                <w:rPr>
                  <w:rStyle w:val="Hiperpovezava"/>
                  <w:rFonts w:asciiTheme="minorHAnsi" w:hAnsiTheme="minorHAnsi" w:cstheme="minorHAnsi"/>
                  <w:color w:val="CD5B45"/>
                  <w:sz w:val="20"/>
                  <w:szCs w:val="20"/>
                </w:rPr>
                <w:t>48108035</w:t>
              </w:r>
            </w:hyperlink>
            <w:r w:rsidRPr="00D864A8">
              <w:rPr>
                <w:rFonts w:asciiTheme="minorHAnsi" w:hAnsiTheme="minorHAnsi" w:cstheme="minorHAnsi"/>
                <w:color w:val="000000"/>
                <w:sz w:val="20"/>
                <w:szCs w:val="20"/>
              </w:rPr>
              <w:t>]</w:t>
            </w:r>
          </w:p>
          <w:p w14:paraId="11D22F55"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7. </w:t>
            </w:r>
            <w:r w:rsidRPr="00D864A8">
              <w:rPr>
                <w:rFonts w:asciiTheme="minorHAnsi" w:hAnsiTheme="minorHAnsi" w:cstheme="minorHAnsi"/>
                <w:color w:val="000000"/>
                <w:sz w:val="20"/>
                <w:szCs w:val="20"/>
              </w:rPr>
              <w:t>ŽUBER, Bruna. Delna, dopolnilna in začasna odločba : 219. - 221.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466-481. [COBISS.SI-ID </w:t>
            </w:r>
            <w:hyperlink r:id="rId12" w:tgtFrame="_blank" w:history="1">
              <w:r w:rsidRPr="00D864A8">
                <w:rPr>
                  <w:rStyle w:val="Hiperpovezava"/>
                  <w:rFonts w:asciiTheme="minorHAnsi" w:hAnsiTheme="minorHAnsi" w:cstheme="minorHAnsi"/>
                  <w:color w:val="CD5B45"/>
                  <w:sz w:val="20"/>
                  <w:szCs w:val="20"/>
                </w:rPr>
                <w:t>48114179</w:t>
              </w:r>
            </w:hyperlink>
            <w:r w:rsidRPr="00D864A8">
              <w:rPr>
                <w:rFonts w:asciiTheme="minorHAnsi" w:hAnsiTheme="minorHAnsi" w:cstheme="minorHAnsi"/>
                <w:color w:val="000000"/>
                <w:sz w:val="20"/>
                <w:szCs w:val="20"/>
              </w:rPr>
              <w:t>]</w:t>
            </w:r>
          </w:p>
          <w:p w14:paraId="476E8261" w14:textId="77777777" w:rsidR="00267CA9" w:rsidRPr="00D864A8"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8. </w:t>
            </w:r>
            <w:r w:rsidRPr="00D864A8">
              <w:rPr>
                <w:rFonts w:asciiTheme="minorHAnsi" w:hAnsiTheme="minorHAnsi" w:cstheme="minorHAnsi"/>
                <w:color w:val="000000"/>
                <w:sz w:val="20"/>
                <w:szCs w:val="20"/>
              </w:rPr>
              <w:t>ŽUBER, Bruna. Rok za odločbo : 222.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482-495. [COBISS.SI-ID </w:t>
            </w:r>
            <w:hyperlink r:id="rId13" w:tgtFrame="_blank" w:history="1">
              <w:r w:rsidRPr="00D864A8">
                <w:rPr>
                  <w:rStyle w:val="Hiperpovezava"/>
                  <w:rFonts w:asciiTheme="minorHAnsi" w:hAnsiTheme="minorHAnsi" w:cstheme="minorHAnsi"/>
                  <w:color w:val="CD5B45"/>
                  <w:sz w:val="20"/>
                  <w:szCs w:val="20"/>
                </w:rPr>
                <w:t>48114947</w:t>
              </w:r>
            </w:hyperlink>
            <w:r w:rsidRPr="00D864A8">
              <w:rPr>
                <w:rFonts w:asciiTheme="minorHAnsi" w:hAnsiTheme="minorHAnsi" w:cstheme="minorHAnsi"/>
                <w:color w:val="000000"/>
                <w:sz w:val="20"/>
                <w:szCs w:val="20"/>
              </w:rPr>
              <w:t>]</w:t>
            </w:r>
          </w:p>
          <w:p w14:paraId="758CAD69" w14:textId="77777777" w:rsidR="00267CA9"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9. </w:t>
            </w:r>
            <w:r w:rsidRPr="00D864A8">
              <w:rPr>
                <w:rFonts w:asciiTheme="minorHAnsi" w:hAnsiTheme="minorHAnsi" w:cstheme="minorHAnsi"/>
                <w:color w:val="000000"/>
                <w:sz w:val="20"/>
                <w:szCs w:val="20"/>
              </w:rPr>
              <w:t>ŽUBER, Bruna. Sklep : 226. - 228.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516-531. [COBISS.SI-ID </w:t>
            </w:r>
            <w:hyperlink r:id="rId14" w:tgtFrame="_blank" w:history="1">
              <w:r w:rsidRPr="00D864A8">
                <w:rPr>
                  <w:rStyle w:val="Hiperpovezava"/>
                  <w:rFonts w:asciiTheme="minorHAnsi" w:hAnsiTheme="minorHAnsi" w:cstheme="minorHAnsi"/>
                  <w:color w:val="CD5B45"/>
                  <w:sz w:val="20"/>
                  <w:szCs w:val="20"/>
                </w:rPr>
                <w:t>48117507</w:t>
              </w:r>
            </w:hyperlink>
            <w:r w:rsidRPr="00D864A8">
              <w:rPr>
                <w:rFonts w:asciiTheme="minorHAnsi" w:hAnsiTheme="minorHAnsi" w:cstheme="minorHAnsi"/>
                <w:color w:val="000000"/>
                <w:sz w:val="20"/>
                <w:szCs w:val="20"/>
              </w:rPr>
              <w:t>]</w:t>
            </w:r>
          </w:p>
          <w:p w14:paraId="30E57DBF" w14:textId="77777777" w:rsidR="00267CA9" w:rsidRPr="0012125C" w:rsidRDefault="00267CA9" w:rsidP="00267CA9">
            <w:pPr>
              <w:pStyle w:val="Navadensplet"/>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10. </w:t>
            </w:r>
            <w:r w:rsidRPr="00D864A8">
              <w:rPr>
                <w:rFonts w:asciiTheme="minorHAnsi" w:hAnsiTheme="minorHAnsi" w:cstheme="minorHAnsi"/>
                <w:color w:val="000000"/>
                <w:sz w:val="20"/>
                <w:szCs w:val="20"/>
              </w:rPr>
              <w:t>ŽUBER, Bruna. Obnova postopka : 260. - 272. člen. V: KOVAČ, Polonca (ur.), et al. </w:t>
            </w:r>
            <w:r w:rsidRPr="00D864A8">
              <w:rPr>
                <w:rFonts w:asciiTheme="minorHAnsi" w:hAnsiTheme="minorHAnsi" w:cstheme="minorHAnsi"/>
                <w:i/>
                <w:iCs/>
                <w:color w:val="000000"/>
                <w:sz w:val="20"/>
                <w:szCs w:val="20"/>
              </w:rPr>
              <w:t>Komentar Zakona o splošnem upravnem postopku (ZUP)</w:t>
            </w:r>
            <w:r w:rsidRPr="00D864A8">
              <w:rPr>
                <w:rFonts w:asciiTheme="minorHAnsi" w:hAnsiTheme="minorHAnsi" w:cstheme="minorHAnsi"/>
                <w:color w:val="000000"/>
                <w:sz w:val="20"/>
                <w:szCs w:val="20"/>
              </w:rPr>
              <w:t>, (Zbirka predpisov). 1. natis. Ljubljana: Uradni list Republike Slovenije: Pravna fakulteta Univerze. 2020, knj. 2, str. 636-723. [COBISS.SI-ID </w:t>
            </w:r>
            <w:hyperlink r:id="rId15" w:tgtFrame="_blank" w:history="1">
              <w:r w:rsidRPr="00D864A8">
                <w:rPr>
                  <w:rStyle w:val="Hiperpovezava"/>
                  <w:rFonts w:asciiTheme="minorHAnsi" w:hAnsiTheme="minorHAnsi" w:cstheme="minorHAnsi"/>
                  <w:color w:val="CD5B45"/>
                  <w:sz w:val="20"/>
                  <w:szCs w:val="20"/>
                </w:rPr>
                <w:t>49085955</w:t>
              </w:r>
            </w:hyperlink>
            <w:r w:rsidRPr="00D864A8">
              <w:rPr>
                <w:rFonts w:asciiTheme="minorHAnsi" w:hAnsiTheme="minorHAnsi" w:cstheme="minorHAnsi"/>
                <w:color w:val="000000"/>
                <w:sz w:val="20"/>
                <w:szCs w:val="20"/>
              </w:rPr>
              <w:t>]</w:t>
            </w:r>
          </w:p>
          <w:p w14:paraId="6F15D1BD" w14:textId="77777777" w:rsidR="00267CA9" w:rsidRPr="007B2300" w:rsidRDefault="00267CA9" w:rsidP="00267CA9">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11. </w:t>
            </w:r>
            <w:r w:rsidRPr="007B2300">
              <w:rPr>
                <w:rFonts w:asciiTheme="minorHAnsi" w:hAnsiTheme="minorHAnsi" w:cstheme="minorHAnsi"/>
                <w:sz w:val="20"/>
                <w:szCs w:val="20"/>
              </w:rPr>
              <w:t xml:space="preserve">ŽUBER, Bruna, </w:t>
            </w:r>
            <w:r w:rsidRPr="007B2300">
              <w:rPr>
                <w:rFonts w:asciiTheme="minorHAnsi" w:hAnsiTheme="minorHAnsi" w:cstheme="minorHAnsi"/>
                <w:color w:val="000000"/>
                <w:sz w:val="20"/>
                <w:szCs w:val="20"/>
              </w:rPr>
              <w:t>DOBRAVEC JALEN, Mira, DOMJAN PAVLIN, Brigita, FAGANEL, Marjanca, GOLOB, Peter, KERŠEVAN, Erik, KMECL, Andrej, PIRNAT, Rajko, SMREKAR, Nataša, STEINMAN, Tatjana, ŠTUCIN, Zdenka, KERŠEVAN, Erik (urednik)</w:t>
            </w:r>
            <w:r w:rsidRPr="007B2300">
              <w:rPr>
                <w:rFonts w:asciiTheme="minorHAnsi" w:hAnsiTheme="minorHAnsi" w:cstheme="minorHAnsi"/>
                <w:i/>
                <w:iCs/>
                <w:color w:val="000000"/>
                <w:sz w:val="20"/>
                <w:szCs w:val="20"/>
              </w:rPr>
              <w:t>. Zakon o upravnem sporu : (ZUS-1) : s komentarjem</w:t>
            </w:r>
            <w:r w:rsidRPr="007B2300">
              <w:rPr>
                <w:rFonts w:asciiTheme="minorHAnsi" w:hAnsiTheme="minorHAnsi" w:cstheme="minorHAnsi"/>
                <w:color w:val="000000"/>
                <w:sz w:val="20"/>
                <w:szCs w:val="20"/>
              </w:rPr>
              <w:t>, (Nova slovenska zakonodaja). 1. natis. Ljubljana: Lexpera, GV založba, 2019. 546 str. ISBN 978-961-247-410-2. [COBISS.SI-ID </w:t>
            </w:r>
            <w:hyperlink r:id="rId16" w:tgtFrame="_blank" w:history="1">
              <w:r w:rsidRPr="007B2300">
                <w:rPr>
                  <w:rStyle w:val="Hiperpovezava"/>
                  <w:rFonts w:asciiTheme="minorHAnsi" w:hAnsiTheme="minorHAnsi" w:cstheme="minorHAnsi"/>
                  <w:color w:val="A00000"/>
                  <w:sz w:val="20"/>
                  <w:szCs w:val="20"/>
                </w:rPr>
                <w:t>298623744</w:t>
              </w:r>
            </w:hyperlink>
            <w:r w:rsidRPr="007B2300">
              <w:rPr>
                <w:rFonts w:asciiTheme="minorHAnsi" w:hAnsiTheme="minorHAnsi" w:cstheme="minorHAnsi"/>
                <w:color w:val="000000"/>
                <w:sz w:val="20"/>
                <w:szCs w:val="20"/>
              </w:rPr>
              <w:t>] </w:t>
            </w:r>
          </w:p>
          <w:p w14:paraId="331C3932" w14:textId="77777777" w:rsidR="00267CA9" w:rsidRPr="00BA24E6" w:rsidRDefault="00267CA9" w:rsidP="00267CA9">
            <w:pPr>
              <w:autoSpaceDE w:val="0"/>
              <w:autoSpaceDN w:val="0"/>
              <w:adjustRightInd w:val="0"/>
              <w:rPr>
                <w:rFonts w:asciiTheme="minorHAnsi" w:hAnsiTheme="minorHAnsi"/>
                <w:color w:val="000000"/>
                <w:sz w:val="20"/>
              </w:rPr>
            </w:pPr>
            <w:r w:rsidRPr="007B2300">
              <w:rPr>
                <w:rFonts w:asciiTheme="minorHAnsi" w:hAnsiTheme="minorHAnsi" w:cstheme="minorHAnsi"/>
                <w:sz w:val="20"/>
                <w:szCs w:val="20"/>
              </w:rPr>
              <w:t>2</w:t>
            </w:r>
            <w:r>
              <w:rPr>
                <w:rFonts w:asciiTheme="minorHAnsi" w:hAnsiTheme="minorHAnsi" w:cstheme="minorHAnsi"/>
                <w:sz w:val="20"/>
                <w:szCs w:val="20"/>
              </w:rPr>
              <w:t>12</w:t>
            </w:r>
            <w:r w:rsidRPr="007B2300">
              <w:rPr>
                <w:rFonts w:asciiTheme="minorHAnsi" w:hAnsiTheme="minorHAnsi" w:cstheme="minorHAnsi"/>
                <w:sz w:val="20"/>
                <w:szCs w:val="20"/>
              </w:rPr>
              <w:t>. ŽUBER, Bruna, A</w:t>
            </w:r>
            <w:r w:rsidRPr="007B2300">
              <w:rPr>
                <w:rFonts w:asciiTheme="minorHAnsi" w:hAnsiTheme="minorHAnsi" w:cstheme="minorHAnsi"/>
                <w:color w:val="000000"/>
                <w:sz w:val="20"/>
                <w:szCs w:val="20"/>
              </w:rPr>
              <w:t>VBELJ, Matej, BARDUTZKY, Samo, DEŽMAN, Aljoša, FARMANY, Polona, GALIČ, Aleš, GRAD, Franc, IGLIČAR, Albin, IVANC, Blaž, KAUČIČ, Igor, KERŠEVAN, Erik, KNEZ, Rajko, KOVAČ, Polonca, MOŽINA, Damjan, PIRNAT, Rajko, PODLIPNIK, Jernej, ŠEPEC, Miha, ŠTURM, Lovro, TOPLAK, Jurij, TRSTENJAK, Verica, ZAGORC, Saša, ZAGRADIŠNIK, Renata, LETNAR ČERNIČ, Jernej, et al., AVBELJ, Matej (urednik)</w:t>
            </w:r>
            <w:r w:rsidRPr="007B2300">
              <w:rPr>
                <w:rFonts w:asciiTheme="minorHAnsi" w:hAnsiTheme="minorHAnsi" w:cstheme="minorHAnsi"/>
                <w:i/>
                <w:iCs/>
                <w:color w:val="000000"/>
                <w:sz w:val="20"/>
                <w:szCs w:val="20"/>
              </w:rPr>
              <w:t>. Komentar Ustave Republike Slovenije : [znanstvena monografija]</w:t>
            </w:r>
            <w:r w:rsidRPr="007B2300">
              <w:rPr>
                <w:rFonts w:asciiTheme="minorHAnsi" w:hAnsiTheme="minorHAnsi" w:cstheme="minorHAnsi"/>
                <w:color w:val="000000"/>
                <w:sz w:val="20"/>
                <w:szCs w:val="20"/>
              </w:rPr>
              <w:t>. 1. natis. Nova Gorica: Nova univerza, Evropska pravna fakulteta, 2019. 2 zv. (725; 519 str.). ISBN 978-961-6731-26-3. ISBN 978-961-6731-27-0. ISBN 978-961-6731-28-7. [COBISS.SI-ID </w:t>
            </w:r>
            <w:hyperlink r:id="rId17" w:tgtFrame="_blank" w:history="1">
              <w:r w:rsidRPr="007B2300">
                <w:rPr>
                  <w:rStyle w:val="Hiperpovezava"/>
                  <w:rFonts w:asciiTheme="minorHAnsi" w:hAnsiTheme="minorHAnsi" w:cstheme="minorHAnsi"/>
                  <w:color w:val="A00000"/>
                  <w:sz w:val="20"/>
                  <w:szCs w:val="20"/>
                </w:rPr>
                <w:t>299270144</w:t>
              </w:r>
            </w:hyperlink>
            <w:r w:rsidRPr="007B2300">
              <w:rPr>
                <w:rFonts w:asciiTheme="minorHAnsi" w:hAnsiTheme="minorHAnsi" w:cstheme="minorHAnsi"/>
                <w:color w:val="000000"/>
                <w:sz w:val="20"/>
                <w:szCs w:val="20"/>
              </w:rPr>
              <w:t>] </w:t>
            </w:r>
          </w:p>
          <w:p w14:paraId="5CCAFE9E" w14:textId="77777777" w:rsidR="00267CA9" w:rsidRPr="0012125C" w:rsidRDefault="00267CA9" w:rsidP="00267CA9">
            <w:pPr>
              <w:autoSpaceDE w:val="0"/>
              <w:autoSpaceDN w:val="0"/>
              <w:adjustRightInd w:val="0"/>
              <w:rPr>
                <w:rFonts w:asciiTheme="minorHAnsi" w:hAnsiTheme="minorHAnsi" w:cstheme="minorHAnsi"/>
                <w:color w:val="000000"/>
                <w:sz w:val="20"/>
                <w:szCs w:val="20"/>
              </w:rPr>
            </w:pPr>
            <w:r w:rsidRPr="007B2300">
              <w:rPr>
                <w:rFonts w:asciiTheme="minorHAnsi" w:hAnsiTheme="minorHAnsi" w:cstheme="minorHAnsi"/>
                <w:sz w:val="20"/>
                <w:szCs w:val="20"/>
              </w:rPr>
              <w:t>3</w:t>
            </w:r>
            <w:r>
              <w:rPr>
                <w:rFonts w:asciiTheme="minorHAnsi" w:hAnsiTheme="minorHAnsi" w:cstheme="minorHAnsi"/>
                <w:color w:val="000000"/>
                <w:sz w:val="20"/>
                <w:szCs w:val="20"/>
              </w:rPr>
              <w:t>13</w:t>
            </w:r>
            <w:r w:rsidRPr="0012125C">
              <w:rPr>
                <w:rFonts w:asciiTheme="minorHAnsi" w:hAnsiTheme="minorHAnsi" w:cstheme="minorHAnsi"/>
                <w:color w:val="000000"/>
                <w:sz w:val="20"/>
                <w:szCs w:val="20"/>
              </w:rPr>
              <w:t>. ŽUBER, Bruna. Ustavna izhodišča javne obravnave v upravnem sporu. V: ŽUBER, Bruna (ur.), et al. </w:t>
            </w:r>
            <w:r w:rsidRPr="0012125C">
              <w:rPr>
                <w:rFonts w:asciiTheme="minorHAnsi" w:hAnsiTheme="minorHAnsi" w:cstheme="minorHAnsi"/>
                <w:i/>
                <w:iCs/>
                <w:color w:val="000000"/>
                <w:sz w:val="20"/>
                <w:szCs w:val="20"/>
              </w:rPr>
              <w:t>Glavna obravnava pred upravnim sodnikom</w:t>
            </w:r>
            <w:r w:rsidRPr="0012125C">
              <w:rPr>
                <w:rFonts w:asciiTheme="minorHAnsi" w:hAnsiTheme="minorHAnsi" w:cstheme="minorHAnsi"/>
                <w:color w:val="000000"/>
                <w:sz w:val="20"/>
                <w:szCs w:val="20"/>
              </w:rPr>
              <w:t>. Ljubljana: Pravna fakulteta, Založba Pravne fakultete. 2020, str. 17-42. [COBISS.SI-ID </w:t>
            </w:r>
            <w:hyperlink r:id="rId18" w:tgtFrame="_blank" w:history="1">
              <w:r w:rsidRPr="0012125C">
                <w:rPr>
                  <w:rStyle w:val="Hiperpovezava"/>
                  <w:rFonts w:asciiTheme="minorHAnsi" w:hAnsiTheme="minorHAnsi" w:cstheme="minorHAnsi"/>
                  <w:color w:val="CD5B45"/>
                  <w:sz w:val="20"/>
                  <w:szCs w:val="20"/>
                </w:rPr>
                <w:t>44355331</w:t>
              </w:r>
            </w:hyperlink>
            <w:r w:rsidRPr="0012125C">
              <w:rPr>
                <w:rFonts w:asciiTheme="minorHAnsi" w:hAnsiTheme="minorHAnsi" w:cstheme="minorHAnsi"/>
                <w:color w:val="000000"/>
                <w:sz w:val="20"/>
                <w:szCs w:val="20"/>
              </w:rPr>
              <w:t>]</w:t>
            </w:r>
          </w:p>
          <w:p w14:paraId="7296C9DD" w14:textId="77777777" w:rsidR="00267CA9" w:rsidRPr="00531FAB" w:rsidRDefault="00267CA9" w:rsidP="00267CA9">
            <w:pPr>
              <w:autoSpaceDE w:val="0"/>
              <w:autoSpaceDN w:val="0"/>
              <w:adjustRightInd w:val="0"/>
              <w:rPr>
                <w:rFonts w:asciiTheme="minorHAnsi" w:hAnsiTheme="minorHAnsi" w:cstheme="minorHAnsi"/>
                <w:sz w:val="20"/>
                <w:szCs w:val="20"/>
              </w:rPr>
            </w:pPr>
            <w:r>
              <w:rPr>
                <w:rFonts w:asciiTheme="minorHAnsi" w:hAnsiTheme="minorHAnsi" w:cstheme="minorHAnsi"/>
                <w:color w:val="000000"/>
                <w:sz w:val="20"/>
                <w:szCs w:val="20"/>
              </w:rPr>
              <w:t>14</w:t>
            </w:r>
            <w:r w:rsidRPr="0012125C">
              <w:rPr>
                <w:rFonts w:asciiTheme="minorHAnsi" w:hAnsiTheme="minorHAnsi" w:cstheme="minorHAnsi"/>
                <w:color w:val="000000"/>
                <w:sz w:val="20"/>
                <w:szCs w:val="20"/>
              </w:rPr>
              <w:t xml:space="preserve">. </w:t>
            </w:r>
            <w:bookmarkStart w:id="7" w:name="17"/>
            <w:r w:rsidRPr="0012125C">
              <w:rPr>
                <w:rFonts w:asciiTheme="minorHAnsi" w:hAnsiTheme="minorHAnsi" w:cstheme="minorHAnsi"/>
                <w:b/>
                <w:bCs/>
                <w:color w:val="000000"/>
                <w:sz w:val="20"/>
                <w:szCs w:val="20"/>
              </w:rPr>
              <w:t> </w:t>
            </w:r>
            <w:bookmarkEnd w:id="7"/>
            <w:r w:rsidRPr="0012125C">
              <w:rPr>
                <w:rFonts w:asciiTheme="minorHAnsi" w:hAnsiTheme="minorHAnsi" w:cstheme="minorHAnsi"/>
                <w:color w:val="000000"/>
                <w:sz w:val="20"/>
                <w:szCs w:val="20"/>
              </w:rPr>
              <w:t>ŽUBER, Bruna. Materialno procesno vodstvo v upravnem sporu. V: ŽUBER, Bruna (ur.), et al. </w:t>
            </w:r>
            <w:r w:rsidRPr="0012125C">
              <w:rPr>
                <w:rFonts w:asciiTheme="minorHAnsi" w:hAnsiTheme="minorHAnsi" w:cstheme="minorHAnsi"/>
                <w:i/>
                <w:iCs/>
                <w:color w:val="000000"/>
                <w:sz w:val="20"/>
                <w:szCs w:val="20"/>
              </w:rPr>
              <w:t>Glavna obravnava pred upravnim sodnikom</w:t>
            </w:r>
            <w:r w:rsidRPr="0012125C">
              <w:rPr>
                <w:rFonts w:asciiTheme="minorHAnsi" w:hAnsiTheme="minorHAnsi" w:cstheme="minorHAnsi"/>
                <w:color w:val="000000"/>
                <w:sz w:val="20"/>
                <w:szCs w:val="20"/>
              </w:rPr>
              <w:t>. Ljubljana: Pravna fakulteta, Založba Pravne fakultete. 2020, str. 119-158. [COBISS.SI-ID </w:t>
            </w:r>
            <w:hyperlink r:id="rId19" w:tgtFrame="_blank" w:history="1">
              <w:r w:rsidRPr="0012125C">
                <w:rPr>
                  <w:rStyle w:val="Hiperpovezava"/>
                  <w:rFonts w:asciiTheme="minorHAnsi" w:hAnsiTheme="minorHAnsi" w:cstheme="minorHAnsi"/>
                  <w:color w:val="CD5B45"/>
                  <w:sz w:val="20"/>
                  <w:szCs w:val="20"/>
                </w:rPr>
                <w:t>44364803</w:t>
              </w:r>
            </w:hyperlink>
            <w:r w:rsidRPr="0012125C">
              <w:rPr>
                <w:rFonts w:asciiTheme="minorHAnsi" w:hAnsiTheme="minorHAnsi" w:cstheme="minorHAnsi"/>
                <w:color w:val="000000"/>
                <w:sz w:val="20"/>
                <w:szCs w:val="20"/>
              </w:rPr>
              <w:t>]</w:t>
            </w:r>
          </w:p>
          <w:p w14:paraId="1DCB14A7" w14:textId="77777777" w:rsidR="00267CA9" w:rsidRPr="007B2300" w:rsidRDefault="00267CA9" w:rsidP="00267CA9">
            <w:pPr>
              <w:autoSpaceDE w:val="0"/>
              <w:autoSpaceDN w:val="0"/>
              <w:adjustRightInd w:val="0"/>
              <w:rPr>
                <w:rFonts w:asciiTheme="minorHAnsi" w:hAnsiTheme="minorHAnsi" w:cstheme="minorHAnsi"/>
                <w:color w:val="000000"/>
                <w:sz w:val="20"/>
                <w:szCs w:val="20"/>
              </w:rPr>
            </w:pPr>
            <w:r>
              <w:rPr>
                <w:rFonts w:asciiTheme="minorHAnsi" w:hAnsiTheme="minorHAnsi" w:cstheme="minorHAnsi"/>
                <w:sz w:val="20"/>
                <w:szCs w:val="20"/>
              </w:rPr>
              <w:t>15</w:t>
            </w:r>
            <w:r w:rsidRPr="007B2300">
              <w:rPr>
                <w:rFonts w:asciiTheme="minorHAnsi" w:hAnsiTheme="minorHAnsi" w:cstheme="minorHAnsi"/>
                <w:sz w:val="20"/>
                <w:szCs w:val="20"/>
              </w:rPr>
              <w:t xml:space="preserve">. ŽUBER, Bruna. </w:t>
            </w:r>
            <w:r w:rsidRPr="007B2300">
              <w:rPr>
                <w:rFonts w:asciiTheme="minorHAnsi" w:hAnsiTheme="minorHAnsi" w:cstheme="minorHAnsi"/>
                <w:color w:val="000000"/>
                <w:sz w:val="20"/>
                <w:szCs w:val="20"/>
              </w:rPr>
              <w:t>Obnova upravnega postopka zoper sklep. </w:t>
            </w:r>
            <w:r w:rsidRPr="007B2300">
              <w:rPr>
                <w:rFonts w:asciiTheme="minorHAnsi" w:hAnsiTheme="minorHAnsi" w:cstheme="minorHAnsi"/>
                <w:i/>
                <w:iCs/>
                <w:color w:val="000000"/>
                <w:sz w:val="20"/>
                <w:szCs w:val="20"/>
              </w:rPr>
              <w:t>Javna uprava</w:t>
            </w:r>
            <w:r w:rsidRPr="007B2300">
              <w:rPr>
                <w:rFonts w:asciiTheme="minorHAnsi" w:hAnsiTheme="minorHAnsi" w:cstheme="minorHAnsi"/>
                <w:color w:val="000000"/>
                <w:sz w:val="20"/>
                <w:szCs w:val="20"/>
              </w:rPr>
              <w:t>, ISSN 1318-2277, 2017, letn. 53, št. 3/4, str. 53-66, 109-110. [COBISS.SI-ID </w:t>
            </w:r>
            <w:hyperlink r:id="rId20" w:tgtFrame="_blank" w:history="1">
              <w:r w:rsidRPr="007B2300">
                <w:rPr>
                  <w:rStyle w:val="Hiperpovezava"/>
                  <w:rFonts w:asciiTheme="minorHAnsi" w:hAnsiTheme="minorHAnsi" w:cstheme="minorHAnsi"/>
                  <w:color w:val="A00000"/>
                  <w:sz w:val="20"/>
                  <w:szCs w:val="20"/>
                </w:rPr>
                <w:t>15955793</w:t>
              </w:r>
            </w:hyperlink>
            <w:r w:rsidRPr="007B2300">
              <w:rPr>
                <w:rFonts w:asciiTheme="minorHAnsi" w:hAnsiTheme="minorHAnsi" w:cstheme="minorHAnsi"/>
                <w:color w:val="000000"/>
                <w:sz w:val="20"/>
                <w:szCs w:val="20"/>
              </w:rPr>
              <w:t>] </w:t>
            </w:r>
          </w:p>
          <w:p w14:paraId="12E41DC4" w14:textId="77777777" w:rsidR="00267CA9" w:rsidRPr="007B2300" w:rsidRDefault="00267CA9" w:rsidP="00267CA9">
            <w:pPr>
              <w:autoSpaceDE w:val="0"/>
              <w:autoSpaceDN w:val="0"/>
              <w:adjustRightInd w:val="0"/>
              <w:rPr>
                <w:rFonts w:asciiTheme="minorHAnsi" w:hAnsiTheme="minorHAnsi" w:cstheme="minorHAnsi"/>
                <w:color w:val="000000"/>
                <w:sz w:val="20"/>
                <w:szCs w:val="20"/>
              </w:rPr>
            </w:pPr>
            <w:r w:rsidRPr="007B2300">
              <w:rPr>
                <w:rFonts w:asciiTheme="minorHAnsi" w:hAnsiTheme="minorHAnsi" w:cstheme="minorHAnsi"/>
                <w:color w:val="000000"/>
                <w:sz w:val="20"/>
                <w:szCs w:val="20"/>
              </w:rPr>
              <w:t>4</w:t>
            </w:r>
            <w:r>
              <w:rPr>
                <w:rFonts w:asciiTheme="minorHAnsi" w:hAnsiTheme="minorHAnsi" w:cstheme="minorHAnsi"/>
                <w:color w:val="000000"/>
                <w:sz w:val="20"/>
                <w:szCs w:val="20"/>
              </w:rPr>
              <w:t>16</w:t>
            </w:r>
            <w:r w:rsidRPr="007B2300">
              <w:rPr>
                <w:rFonts w:asciiTheme="minorHAnsi" w:hAnsiTheme="minorHAnsi" w:cstheme="minorHAnsi"/>
                <w:color w:val="000000"/>
                <w:sz w:val="20"/>
                <w:szCs w:val="20"/>
              </w:rPr>
              <w:t>. ŽUBER, Bruna. Pomen glavne obravnave v upravnem sporu. V: KAMBIČ, Marko (ur.), ŠKRUBEJ, Katja (ur.), ACCETTO, Matej. </w:t>
            </w:r>
            <w:r w:rsidRPr="007B2300">
              <w:rPr>
                <w:rFonts w:asciiTheme="minorHAnsi" w:hAnsiTheme="minorHAnsi" w:cstheme="minorHAnsi"/>
                <w:i/>
                <w:iCs/>
                <w:color w:val="000000"/>
                <w:sz w:val="20"/>
                <w:szCs w:val="20"/>
              </w:rPr>
              <w:t>Odsev dejstev v pravu : da mihi facta, dabo tibi ius : liber amicorum Janez Kranjc</w:t>
            </w:r>
            <w:r w:rsidRPr="007B2300">
              <w:rPr>
                <w:rFonts w:asciiTheme="minorHAnsi" w:hAnsiTheme="minorHAnsi" w:cstheme="minorHAnsi"/>
                <w:color w:val="000000"/>
                <w:sz w:val="20"/>
                <w:szCs w:val="20"/>
              </w:rPr>
              <w:t>. 1. natis. Ljubljana: Pravna fakulteta. 2019, str. 485-494. [COBISS.SI-ID </w:t>
            </w:r>
            <w:hyperlink r:id="rId21" w:tgtFrame="_blank" w:history="1">
              <w:r w:rsidRPr="007B2300">
                <w:rPr>
                  <w:rStyle w:val="Hiperpovezava"/>
                  <w:rFonts w:asciiTheme="minorHAnsi" w:hAnsiTheme="minorHAnsi" w:cstheme="minorHAnsi"/>
                  <w:color w:val="A00000"/>
                  <w:sz w:val="20"/>
                  <w:szCs w:val="20"/>
                </w:rPr>
                <w:t>16895825</w:t>
              </w:r>
            </w:hyperlink>
            <w:r w:rsidRPr="007B2300">
              <w:rPr>
                <w:rFonts w:asciiTheme="minorHAnsi" w:hAnsiTheme="minorHAnsi" w:cstheme="minorHAnsi"/>
                <w:color w:val="000000"/>
                <w:sz w:val="20"/>
                <w:szCs w:val="20"/>
              </w:rPr>
              <w:t>]</w:t>
            </w:r>
          </w:p>
          <w:p w14:paraId="5456AC89" w14:textId="77777777" w:rsidR="00267CA9" w:rsidRPr="00E126E8" w:rsidRDefault="00267CA9" w:rsidP="00267CA9">
            <w:pPr>
              <w:autoSpaceDE w:val="0"/>
              <w:autoSpaceDN w:val="0"/>
              <w:adjustRightInd w:val="0"/>
              <w:rPr>
                <w:rFonts w:asciiTheme="minorHAnsi" w:hAnsiTheme="minorHAnsi" w:cstheme="minorHAnsi"/>
                <w:sz w:val="20"/>
                <w:szCs w:val="20"/>
              </w:rPr>
            </w:pPr>
            <w:r w:rsidRPr="007B2300">
              <w:rPr>
                <w:rFonts w:asciiTheme="minorHAnsi" w:hAnsiTheme="minorHAnsi" w:cstheme="minorHAnsi"/>
                <w:color w:val="000000"/>
                <w:sz w:val="20"/>
                <w:szCs w:val="20"/>
              </w:rPr>
              <w:t>5</w:t>
            </w:r>
            <w:r>
              <w:rPr>
                <w:rFonts w:asciiTheme="minorHAnsi" w:hAnsiTheme="minorHAnsi" w:cstheme="minorHAnsi"/>
                <w:color w:val="000000"/>
                <w:sz w:val="20"/>
                <w:szCs w:val="20"/>
              </w:rPr>
              <w:t>17</w:t>
            </w:r>
            <w:r w:rsidRPr="007B2300">
              <w:rPr>
                <w:rFonts w:asciiTheme="minorHAnsi" w:hAnsiTheme="minorHAnsi" w:cstheme="minorHAnsi"/>
                <w:color w:val="000000"/>
                <w:sz w:val="20"/>
                <w:szCs w:val="20"/>
              </w:rPr>
              <w:t>. ŽUBER, Bruna. The legal nature of local electoral dispute : the case of Slovenia. </w:t>
            </w:r>
            <w:r w:rsidRPr="007B2300">
              <w:rPr>
                <w:rFonts w:asciiTheme="minorHAnsi" w:hAnsiTheme="minorHAnsi" w:cstheme="minorHAnsi"/>
                <w:i/>
                <w:iCs/>
                <w:color w:val="000000"/>
                <w:sz w:val="20"/>
                <w:szCs w:val="20"/>
              </w:rPr>
              <w:t>Lex localis : revija za lokalno samoupravo</w:t>
            </w:r>
            <w:r w:rsidRPr="007B2300">
              <w:rPr>
                <w:rFonts w:asciiTheme="minorHAnsi" w:hAnsiTheme="minorHAnsi" w:cstheme="minorHAnsi"/>
                <w:color w:val="000000"/>
                <w:sz w:val="20"/>
                <w:szCs w:val="20"/>
              </w:rPr>
              <w:t>, ISSN 1581-5374. [Tiskana izd.], 2019, vol. 17, iss. 4, str. 1097-1128. [COBISS.SI-ID </w:t>
            </w:r>
            <w:hyperlink r:id="rId22" w:tgtFrame="_blank" w:history="1">
              <w:r w:rsidRPr="007B2300">
                <w:rPr>
                  <w:rStyle w:val="Hiperpovezava"/>
                  <w:rFonts w:asciiTheme="minorHAnsi" w:hAnsiTheme="minorHAnsi" w:cstheme="minorHAnsi"/>
                  <w:color w:val="A00000"/>
                  <w:sz w:val="20"/>
                  <w:szCs w:val="20"/>
                </w:rPr>
                <w:t>16990033</w:t>
              </w:r>
            </w:hyperlink>
            <w:r w:rsidRPr="007B2300">
              <w:rPr>
                <w:rFonts w:asciiTheme="minorHAnsi" w:hAnsiTheme="minorHAnsi" w:cstheme="minorHAnsi"/>
                <w:color w:val="000000"/>
                <w:sz w:val="20"/>
                <w:szCs w:val="20"/>
              </w:rPr>
              <w:t>]</w:t>
            </w:r>
          </w:p>
          <w:p w14:paraId="1293EA06" w14:textId="03B5FE4E" w:rsidR="00267CA9" w:rsidRPr="008B58EB" w:rsidRDefault="00267CA9" w:rsidP="00BA24E6">
            <w:pPr>
              <w:autoSpaceDE w:val="0"/>
              <w:autoSpaceDN w:val="0"/>
              <w:adjustRightInd w:val="0"/>
              <w:jc w:val="both"/>
              <w:rPr>
                <w:rFonts w:cs="Calibri"/>
                <w:sz w:val="20"/>
                <w:szCs w:val="20"/>
              </w:rPr>
            </w:pPr>
          </w:p>
        </w:tc>
      </w:tr>
    </w:tbl>
    <w:p w14:paraId="547A84A6" w14:textId="77777777" w:rsidR="00CE4BC9" w:rsidRPr="008B58EB" w:rsidRDefault="00CE4BC9" w:rsidP="00CE4BC9">
      <w:pPr>
        <w:rPr>
          <w:rFonts w:cs="Calibri"/>
          <w:sz w:val="20"/>
          <w:szCs w:val="20"/>
        </w:rPr>
      </w:pPr>
    </w:p>
    <w:sectPr w:rsidR="00CE4BC9" w:rsidRPr="008B58EB" w:rsidSect="00CE4BC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2242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D1A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EDA30A2"/>
    <w:multiLevelType w:val="hybridMultilevel"/>
    <w:tmpl w:val="14346B70"/>
    <w:lvl w:ilvl="0" w:tplc="42CE32CC">
      <w:start w:val="1"/>
      <w:numFmt w:val="decimal"/>
      <w:lvlText w:val="%1."/>
      <w:lvlJc w:val="left"/>
      <w:pPr>
        <w:ind w:left="720" w:hanging="360"/>
      </w:pPr>
      <w:rPr>
        <w:rFonts w:ascii="Calibri" w:eastAsia="MS Mincho" w:hAnsi="Calibri" w:cs="Calibr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DB4DCF"/>
    <w:multiLevelType w:val="hybridMultilevel"/>
    <w:tmpl w:val="0AC47974"/>
    <w:lvl w:ilvl="0" w:tplc="35B24B8E">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1D638A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9F3659D"/>
    <w:multiLevelType w:val="multilevel"/>
    <w:tmpl w:val="EC46F43C"/>
    <w:lvl w:ilvl="0">
      <w:start w:val="1"/>
      <w:numFmt w:val="decimal"/>
      <w:pStyle w:val="literatu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4"/>
    <w:rsid w:val="0003359D"/>
    <w:rsid w:val="000B58FF"/>
    <w:rsid w:val="00197B56"/>
    <w:rsid w:val="001B0D53"/>
    <w:rsid w:val="001D66C4"/>
    <w:rsid w:val="001E1BDB"/>
    <w:rsid w:val="00204D94"/>
    <w:rsid w:val="002107A7"/>
    <w:rsid w:val="00240DAC"/>
    <w:rsid w:val="00255283"/>
    <w:rsid w:val="00267CA9"/>
    <w:rsid w:val="0027440B"/>
    <w:rsid w:val="00281D7B"/>
    <w:rsid w:val="002A2C35"/>
    <w:rsid w:val="002C0D46"/>
    <w:rsid w:val="002E741A"/>
    <w:rsid w:val="00305CAA"/>
    <w:rsid w:val="00340C1A"/>
    <w:rsid w:val="0038135D"/>
    <w:rsid w:val="003A205B"/>
    <w:rsid w:val="003B6745"/>
    <w:rsid w:val="003E761E"/>
    <w:rsid w:val="00465822"/>
    <w:rsid w:val="004C5B90"/>
    <w:rsid w:val="004E493D"/>
    <w:rsid w:val="004F152F"/>
    <w:rsid w:val="004F3227"/>
    <w:rsid w:val="00501085"/>
    <w:rsid w:val="00525179"/>
    <w:rsid w:val="00575E89"/>
    <w:rsid w:val="00595B1B"/>
    <w:rsid w:val="005B1E4D"/>
    <w:rsid w:val="005E26AF"/>
    <w:rsid w:val="005E373F"/>
    <w:rsid w:val="005F555E"/>
    <w:rsid w:val="005F7F7E"/>
    <w:rsid w:val="006821A1"/>
    <w:rsid w:val="006A12C2"/>
    <w:rsid w:val="007215B6"/>
    <w:rsid w:val="00770E00"/>
    <w:rsid w:val="0078721E"/>
    <w:rsid w:val="007968F9"/>
    <w:rsid w:val="007A727F"/>
    <w:rsid w:val="007E52D4"/>
    <w:rsid w:val="00803A3A"/>
    <w:rsid w:val="00871515"/>
    <w:rsid w:val="0089129F"/>
    <w:rsid w:val="00896700"/>
    <w:rsid w:val="008B58EB"/>
    <w:rsid w:val="008E5AA1"/>
    <w:rsid w:val="008F6E53"/>
    <w:rsid w:val="009147FD"/>
    <w:rsid w:val="00916698"/>
    <w:rsid w:val="00921EDA"/>
    <w:rsid w:val="0092495F"/>
    <w:rsid w:val="00955EF7"/>
    <w:rsid w:val="0099627C"/>
    <w:rsid w:val="009B0836"/>
    <w:rsid w:val="009B6CB2"/>
    <w:rsid w:val="009F2D15"/>
    <w:rsid w:val="00A000F0"/>
    <w:rsid w:val="00A03DF4"/>
    <w:rsid w:val="00A15561"/>
    <w:rsid w:val="00A257CB"/>
    <w:rsid w:val="00A5358F"/>
    <w:rsid w:val="00A637F8"/>
    <w:rsid w:val="00A64F2D"/>
    <w:rsid w:val="00A803FF"/>
    <w:rsid w:val="00AC59D1"/>
    <w:rsid w:val="00B60F70"/>
    <w:rsid w:val="00BA24E6"/>
    <w:rsid w:val="00BB5216"/>
    <w:rsid w:val="00BE55CF"/>
    <w:rsid w:val="00CC5719"/>
    <w:rsid w:val="00CE4BC9"/>
    <w:rsid w:val="00CF1FB5"/>
    <w:rsid w:val="00D165CF"/>
    <w:rsid w:val="00D2393A"/>
    <w:rsid w:val="00D32BA2"/>
    <w:rsid w:val="00DD7A06"/>
    <w:rsid w:val="00E12E35"/>
    <w:rsid w:val="00E33CB9"/>
    <w:rsid w:val="00F2694A"/>
    <w:rsid w:val="00F909D4"/>
    <w:rsid w:val="00FB52F3"/>
    <w:rsid w:val="00FD33CD"/>
    <w:rsid w:val="00FF41FE"/>
  </w:rsids>
  <m:mathPr>
    <m:mathFont m:val="Cambria Math"/>
    <m:brkBin m:val="before"/>
    <m:brkBinSub m:val="--"/>
    <m:smallFrac/>
    <m:dispDe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7BA7413"/>
  <w15:docId w15:val="{88E7E379-DBC1-4AEE-A6E4-EEEB2C94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52D4"/>
    <w:rPr>
      <w:rFonts w:ascii="Calibri" w:eastAsia="Calibri" w:hAnsi="Calibr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352A5E"/>
    <w:rPr>
      <w:color w:val="0000FF"/>
      <w:u w:val="single"/>
    </w:rPr>
  </w:style>
  <w:style w:type="paragraph" w:customStyle="1" w:styleId="literatura">
    <w:name w:val="literatura"/>
    <w:basedOn w:val="Navaden"/>
    <w:rsid w:val="00233137"/>
    <w:pPr>
      <w:numPr>
        <w:numId w:val="4"/>
      </w:numPr>
      <w:tabs>
        <w:tab w:val="left" w:pos="284"/>
      </w:tabs>
      <w:ind w:left="568" w:hanging="284"/>
      <w:jc w:val="both"/>
    </w:pPr>
    <w:rPr>
      <w:rFonts w:ascii="Times New Roman" w:eastAsia="Times New Roman" w:hAnsi="Times New Roman"/>
      <w:sz w:val="22"/>
      <w:szCs w:val="20"/>
    </w:rPr>
  </w:style>
  <w:style w:type="paragraph" w:customStyle="1" w:styleId="naslov3">
    <w:name w:val="naslov 3"/>
    <w:next w:val="Navaden"/>
    <w:rsid w:val="002569E4"/>
    <w:pPr>
      <w:widowControl w:val="0"/>
      <w:autoSpaceDE w:val="0"/>
      <w:autoSpaceDN w:val="0"/>
      <w:adjustRightInd w:val="0"/>
      <w:spacing w:before="360" w:after="120" w:line="220" w:lineRule="atLeast"/>
      <w:jc w:val="both"/>
    </w:pPr>
    <w:rPr>
      <w:rFonts w:ascii="Times New Roman" w:eastAsia="Times New Roman" w:hAnsi="Times New Roman"/>
      <w:b/>
      <w:bCs/>
      <w:sz w:val="22"/>
    </w:rPr>
  </w:style>
  <w:style w:type="paragraph" w:customStyle="1" w:styleId="tockalevo2">
    <w:name w:val="tocka levo 2"/>
    <w:basedOn w:val="Navaden"/>
    <w:rsid w:val="002569E4"/>
    <w:pPr>
      <w:tabs>
        <w:tab w:val="left" w:pos="454"/>
      </w:tabs>
      <w:ind w:left="681" w:hanging="454"/>
    </w:pPr>
    <w:rPr>
      <w:rFonts w:ascii="Times New Roman" w:eastAsia="Times New Roman" w:hAnsi="Times New Roman"/>
      <w:sz w:val="22"/>
      <w:szCs w:val="20"/>
    </w:rPr>
  </w:style>
  <w:style w:type="paragraph" w:customStyle="1" w:styleId="preslmali2">
    <w:name w:val="presl_mali_2"/>
    <w:rsid w:val="002569E4"/>
    <w:pPr>
      <w:widowControl w:val="0"/>
      <w:autoSpaceDE w:val="0"/>
      <w:autoSpaceDN w:val="0"/>
      <w:adjustRightInd w:val="0"/>
      <w:spacing w:line="37" w:lineRule="atLeast"/>
      <w:jc w:val="both"/>
    </w:pPr>
    <w:rPr>
      <w:rFonts w:ascii="SL Dutch" w:eastAsia="Times New Roman" w:hAnsi="SL Dutch"/>
      <w:sz w:val="5"/>
      <w:szCs w:val="5"/>
      <w:lang w:val="en-US"/>
    </w:rPr>
  </w:style>
  <w:style w:type="paragraph" w:styleId="Besedilooblaka">
    <w:name w:val="Balloon Text"/>
    <w:basedOn w:val="Navaden"/>
    <w:link w:val="BesedilooblakaZnak"/>
    <w:uiPriority w:val="99"/>
    <w:semiHidden/>
    <w:unhideWhenUsed/>
    <w:rsid w:val="00FD33CD"/>
    <w:rPr>
      <w:rFonts w:ascii="Segoe UI" w:hAnsi="Segoe UI" w:cs="Segoe UI"/>
      <w:sz w:val="18"/>
      <w:szCs w:val="18"/>
    </w:rPr>
  </w:style>
  <w:style w:type="character" w:customStyle="1" w:styleId="BesedilooblakaZnak">
    <w:name w:val="Besedilo oblačka Znak"/>
    <w:link w:val="Besedilooblaka"/>
    <w:uiPriority w:val="99"/>
    <w:semiHidden/>
    <w:rsid w:val="00FD33CD"/>
    <w:rPr>
      <w:rFonts w:ascii="Segoe UI" w:eastAsia="Calibri" w:hAnsi="Segoe UI" w:cs="Segoe UI"/>
      <w:sz w:val="18"/>
      <w:szCs w:val="18"/>
    </w:rPr>
  </w:style>
  <w:style w:type="character" w:styleId="Pripombasklic">
    <w:name w:val="annotation reference"/>
    <w:basedOn w:val="Privzetapisavaodstavka"/>
    <w:uiPriority w:val="99"/>
    <w:semiHidden/>
    <w:unhideWhenUsed/>
    <w:rsid w:val="004E493D"/>
    <w:rPr>
      <w:sz w:val="16"/>
      <w:szCs w:val="16"/>
    </w:rPr>
  </w:style>
  <w:style w:type="paragraph" w:styleId="Pripombabesedilo">
    <w:name w:val="annotation text"/>
    <w:basedOn w:val="Navaden"/>
    <w:link w:val="PripombabesediloZnak"/>
    <w:uiPriority w:val="99"/>
    <w:semiHidden/>
    <w:unhideWhenUsed/>
    <w:rsid w:val="004E493D"/>
    <w:rPr>
      <w:sz w:val="20"/>
      <w:szCs w:val="20"/>
    </w:rPr>
  </w:style>
  <w:style w:type="character" w:customStyle="1" w:styleId="PripombabesediloZnak">
    <w:name w:val="Pripomba – besedilo Znak"/>
    <w:basedOn w:val="Privzetapisavaodstavka"/>
    <w:link w:val="Pripombabesedilo"/>
    <w:uiPriority w:val="99"/>
    <w:semiHidden/>
    <w:rsid w:val="004E493D"/>
    <w:rPr>
      <w:rFonts w:ascii="Calibri" w:eastAsia="Calibri" w:hAnsi="Calibri"/>
    </w:rPr>
  </w:style>
  <w:style w:type="paragraph" w:styleId="Zadevapripombe">
    <w:name w:val="annotation subject"/>
    <w:basedOn w:val="Pripombabesedilo"/>
    <w:next w:val="Pripombabesedilo"/>
    <w:link w:val="ZadevapripombeZnak"/>
    <w:uiPriority w:val="99"/>
    <w:semiHidden/>
    <w:unhideWhenUsed/>
    <w:rsid w:val="004E493D"/>
    <w:rPr>
      <w:b/>
      <w:bCs/>
    </w:rPr>
  </w:style>
  <w:style w:type="character" w:customStyle="1" w:styleId="ZadevapripombeZnak">
    <w:name w:val="Zadeva pripombe Znak"/>
    <w:basedOn w:val="PripombabesediloZnak"/>
    <w:link w:val="Zadevapripombe"/>
    <w:uiPriority w:val="99"/>
    <w:semiHidden/>
    <w:rsid w:val="004E493D"/>
    <w:rPr>
      <w:rFonts w:ascii="Calibri" w:eastAsia="Calibri" w:hAnsi="Calibri"/>
      <w:b/>
      <w:bCs/>
    </w:rPr>
  </w:style>
  <w:style w:type="character" w:customStyle="1" w:styleId="tlid-translation">
    <w:name w:val="tlid-translation"/>
    <w:basedOn w:val="Privzetapisavaodstavka"/>
    <w:rsid w:val="00CC5719"/>
  </w:style>
  <w:style w:type="paragraph" w:styleId="Odstavekseznama">
    <w:name w:val="List Paragraph"/>
    <w:basedOn w:val="Navaden"/>
    <w:uiPriority w:val="72"/>
    <w:qFormat/>
    <w:rsid w:val="00896700"/>
    <w:pPr>
      <w:ind w:left="720"/>
      <w:contextualSpacing/>
    </w:pPr>
  </w:style>
  <w:style w:type="paragraph" w:styleId="Revizija">
    <w:name w:val="Revision"/>
    <w:hidden/>
    <w:uiPriority w:val="71"/>
    <w:semiHidden/>
    <w:rsid w:val="00CF1FB5"/>
    <w:rPr>
      <w:rFonts w:ascii="Calibri" w:eastAsia="Calibri" w:hAnsi="Calibri"/>
      <w:sz w:val="24"/>
      <w:szCs w:val="24"/>
    </w:rPr>
  </w:style>
  <w:style w:type="paragraph" w:styleId="Navadensplet">
    <w:name w:val="Normal (Web)"/>
    <w:basedOn w:val="Navaden"/>
    <w:uiPriority w:val="99"/>
    <w:unhideWhenUsed/>
    <w:rsid w:val="00267CA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3253">
      <w:bodyDiv w:val="1"/>
      <w:marLeft w:val="0"/>
      <w:marRight w:val="0"/>
      <w:marTop w:val="0"/>
      <w:marBottom w:val="0"/>
      <w:divBdr>
        <w:top w:val="none" w:sz="0" w:space="0" w:color="auto"/>
        <w:left w:val="none" w:sz="0" w:space="0" w:color="auto"/>
        <w:bottom w:val="none" w:sz="0" w:space="0" w:color="auto"/>
        <w:right w:val="none" w:sz="0" w:space="0" w:color="auto"/>
      </w:divBdr>
    </w:div>
    <w:div w:id="8172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si.cobiss.net/opac7/bib/47001603?lang=sl" TargetMode="External"/><Relationship Id="rId13" Type="http://schemas.openxmlformats.org/officeDocument/2006/relationships/hyperlink" Target="https://plus.si.cobiss.net/opac7/bib/48114947?lang=sl" TargetMode="External"/><Relationship Id="rId18" Type="http://schemas.openxmlformats.org/officeDocument/2006/relationships/hyperlink" Target="https://plus.si.cobiss.net/opac7/bib/44355331?lang=sl" TargetMode="External"/><Relationship Id="rId3" Type="http://schemas.openxmlformats.org/officeDocument/2006/relationships/styles" Target="styles.xml"/><Relationship Id="rId21" Type="http://schemas.openxmlformats.org/officeDocument/2006/relationships/hyperlink" Target="https://plus.si.cobiss.net/opac7/bib/16895825?lang=sl" TargetMode="External"/><Relationship Id="rId7" Type="http://schemas.openxmlformats.org/officeDocument/2006/relationships/hyperlink" Target="https://plus.si.cobiss.net/opac7/bib/47001091?lang=sl" TargetMode="External"/><Relationship Id="rId12" Type="http://schemas.openxmlformats.org/officeDocument/2006/relationships/hyperlink" Target="https://plus.si.cobiss.net/opac7/bib/48114179?lang=sl" TargetMode="External"/><Relationship Id="rId17" Type="http://schemas.openxmlformats.org/officeDocument/2006/relationships/hyperlink" Target="https://plus.si.cobiss.net/opac7/bib/299270144?lang=sl" TargetMode="External"/><Relationship Id="rId2" Type="http://schemas.openxmlformats.org/officeDocument/2006/relationships/numbering" Target="numbering.xml"/><Relationship Id="rId16" Type="http://schemas.openxmlformats.org/officeDocument/2006/relationships/hyperlink" Target="https://plus.si.cobiss.net/opac7/bib/298623744?lang=sl" TargetMode="External"/><Relationship Id="rId20" Type="http://schemas.openxmlformats.org/officeDocument/2006/relationships/hyperlink" Target="https://plus.si.cobiss.net/opac7/bib/15955793?lang=sl" TargetMode="External"/><Relationship Id="rId1" Type="http://schemas.openxmlformats.org/officeDocument/2006/relationships/customXml" Target="../customXml/item1.xml"/><Relationship Id="rId6" Type="http://schemas.openxmlformats.org/officeDocument/2006/relationships/hyperlink" Target="https://plus.si.cobiss.net/opac7/bib/46913283?lang=sl" TargetMode="External"/><Relationship Id="rId11" Type="http://schemas.openxmlformats.org/officeDocument/2006/relationships/hyperlink" Target="https://plus.si.cobiss.net/opac7/bib/48108035?lang=s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us.si.cobiss.net/opac7/bib/49085955?lang=sl" TargetMode="External"/><Relationship Id="rId23" Type="http://schemas.openxmlformats.org/officeDocument/2006/relationships/fontTable" Target="fontTable.xml"/><Relationship Id="rId10" Type="http://schemas.openxmlformats.org/officeDocument/2006/relationships/hyperlink" Target="https://plus.si.cobiss.net/opac7/bib/48095235?lang=sl" TargetMode="External"/><Relationship Id="rId19" Type="http://schemas.openxmlformats.org/officeDocument/2006/relationships/hyperlink" Target="https://plus.si.cobiss.net/opac7/bib/44364803?lang=sl" TargetMode="External"/><Relationship Id="rId4" Type="http://schemas.openxmlformats.org/officeDocument/2006/relationships/settings" Target="settings.xml"/><Relationship Id="rId9" Type="http://schemas.openxmlformats.org/officeDocument/2006/relationships/hyperlink" Target="https://plus.si.cobiss.net/opac7/bib/47003139?lang=sl" TargetMode="External"/><Relationship Id="rId14" Type="http://schemas.openxmlformats.org/officeDocument/2006/relationships/hyperlink" Target="https://plus.si.cobiss.net/opac7/bib/48117507?lang=sl" TargetMode="External"/><Relationship Id="rId22" Type="http://schemas.openxmlformats.org/officeDocument/2006/relationships/hyperlink" Target="https://plus.si.cobiss.net/opac7/bib/16990033?lang=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1F9F278F-19B1-47F7-8514-B29338D8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2700</Words>
  <Characters>15393</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18057</CharactersWithSpaces>
  <SharedDoc>false</SharedDoc>
  <HLinks>
    <vt:vector size="6" baseType="variant">
      <vt:variant>
        <vt:i4>5374018</vt:i4>
      </vt:variant>
      <vt:variant>
        <vt:i4>0</vt:i4>
      </vt:variant>
      <vt:variant>
        <vt:i4>0</vt:i4>
      </vt:variant>
      <vt:variant>
        <vt:i4>5</vt:i4>
      </vt:variant>
      <vt:variant>
        <vt:lpwstr>https://plus.si.cobiss.net/opac7/bib/COBIB/216401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bumbar</dc:creator>
  <cp:keywords/>
  <cp:lastModifiedBy>Marentič, Maja</cp:lastModifiedBy>
  <cp:revision>3</cp:revision>
  <dcterms:created xsi:type="dcterms:W3CDTF">2023-05-23T08:05:00Z</dcterms:created>
  <dcterms:modified xsi:type="dcterms:W3CDTF">2024-06-04T09:29:00Z</dcterms:modified>
</cp:coreProperties>
</file>